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21DD" w:rsidRPr="003A140B" w:rsidRDefault="005331B5" w:rsidP="003A140B">
      <w:pPr>
        <w:pStyle w:val="Footer"/>
        <w:spacing w:beforeLines="0" w:after="0"/>
        <w:jc w:val="both"/>
        <w:rPr>
          <w:i w:val="0"/>
          <w:sz w:val="28"/>
          <w:szCs w:val="28"/>
          <w:lang w:val="en-US" w:eastAsia="zh-CN"/>
        </w:rPr>
      </w:pPr>
      <w:bookmarkStart w:id="0" w:name="_Toc193024528"/>
      <w:bookmarkStart w:id="1" w:name="_GoBack"/>
      <w:bookmarkEnd w:id="1"/>
      <w:r w:rsidRPr="003A140B">
        <w:rPr>
          <w:i w:val="0"/>
          <w:sz w:val="28"/>
          <w:szCs w:val="28"/>
          <w:lang w:val="en-US" w:eastAsia="zh-CN"/>
        </w:rPr>
        <w:t>3GPP TSG RAN WG1 Meeting #</w:t>
      </w:r>
      <w:r w:rsidRPr="003A140B">
        <w:rPr>
          <w:rFonts w:hint="eastAsia"/>
          <w:i w:val="0"/>
          <w:sz w:val="28"/>
          <w:szCs w:val="28"/>
          <w:lang w:val="en-US" w:eastAsia="zh-CN"/>
        </w:rPr>
        <w:t xml:space="preserve">91                         </w:t>
      </w:r>
      <w:r w:rsidRPr="003A140B">
        <w:rPr>
          <w:i w:val="0"/>
          <w:sz w:val="28"/>
          <w:szCs w:val="28"/>
          <w:lang w:val="en-US" w:eastAsia="zh-CN"/>
        </w:rPr>
        <w:tab/>
      </w:r>
      <w:r w:rsidR="00547B07" w:rsidRPr="003A140B">
        <w:rPr>
          <w:i w:val="0"/>
          <w:sz w:val="28"/>
          <w:szCs w:val="28"/>
          <w:lang w:val="en-US" w:eastAsia="zh-CN"/>
        </w:rPr>
        <w:tab/>
      </w:r>
      <w:r w:rsidR="00547B07" w:rsidRPr="003A140B">
        <w:rPr>
          <w:i w:val="0"/>
          <w:sz w:val="28"/>
          <w:szCs w:val="28"/>
          <w:lang w:val="en-US" w:eastAsia="zh-CN"/>
        </w:rPr>
        <w:tab/>
      </w:r>
      <w:r w:rsidR="00547B07" w:rsidRPr="003A140B">
        <w:rPr>
          <w:i w:val="0"/>
          <w:sz w:val="28"/>
          <w:szCs w:val="28"/>
          <w:lang w:val="en-US" w:eastAsia="zh-CN"/>
        </w:rPr>
        <w:tab/>
      </w:r>
      <w:r w:rsidR="00547B07" w:rsidRPr="003A140B">
        <w:rPr>
          <w:i w:val="0"/>
          <w:sz w:val="28"/>
          <w:szCs w:val="28"/>
          <w:lang w:val="en-US" w:eastAsia="zh-CN"/>
        </w:rPr>
        <w:tab/>
      </w:r>
      <w:r w:rsidR="00547B07" w:rsidRPr="003A140B">
        <w:rPr>
          <w:i w:val="0"/>
          <w:sz w:val="28"/>
          <w:szCs w:val="28"/>
          <w:lang w:val="en-US" w:eastAsia="zh-CN"/>
        </w:rPr>
        <w:tab/>
      </w:r>
      <w:r w:rsidR="00F92AFB" w:rsidRPr="00F92AFB">
        <w:rPr>
          <w:i w:val="0"/>
          <w:sz w:val="28"/>
          <w:szCs w:val="28"/>
          <w:lang w:val="en-US" w:eastAsia="zh-CN"/>
        </w:rPr>
        <w:t>R1-1719655</w:t>
      </w:r>
    </w:p>
    <w:p w:rsidR="00DD21DD" w:rsidRPr="003A140B" w:rsidRDefault="005331B5" w:rsidP="003A140B">
      <w:pPr>
        <w:tabs>
          <w:tab w:val="center" w:pos="4536"/>
          <w:tab w:val="right" w:pos="9072"/>
        </w:tabs>
        <w:spacing w:beforeLines="0" w:after="0"/>
        <w:rPr>
          <w:sz w:val="28"/>
          <w:szCs w:val="28"/>
          <w:lang w:val="en-US" w:eastAsia="zh-CN"/>
        </w:rPr>
      </w:pPr>
      <w:r w:rsidRPr="003A140B">
        <w:rPr>
          <w:rFonts w:ascii="Arial" w:eastAsia="MS Mincho" w:hAnsi="Arial" w:cs="Arial"/>
          <w:b/>
          <w:bCs/>
          <w:sz w:val="28"/>
          <w:szCs w:val="28"/>
          <w:lang w:eastAsia="ja-JP"/>
        </w:rPr>
        <w:t>Reno, USA, November 27</w:t>
      </w:r>
      <w:r w:rsidRPr="003A140B">
        <w:rPr>
          <w:rFonts w:ascii="Arial" w:eastAsia="MS Mincho" w:hAnsi="Arial" w:cs="Arial"/>
          <w:b/>
          <w:bCs/>
          <w:sz w:val="28"/>
          <w:szCs w:val="28"/>
          <w:vertAlign w:val="superscript"/>
          <w:lang w:eastAsia="ja-JP"/>
        </w:rPr>
        <w:t>th</w:t>
      </w:r>
      <w:r w:rsidRPr="003A140B">
        <w:rPr>
          <w:rFonts w:ascii="Arial" w:eastAsia="MS Mincho" w:hAnsi="Arial" w:cs="Arial"/>
          <w:b/>
          <w:bCs/>
          <w:sz w:val="28"/>
          <w:szCs w:val="28"/>
          <w:lang w:eastAsia="ja-JP"/>
        </w:rPr>
        <w:t xml:space="preserve"> – December 1</w:t>
      </w:r>
      <w:r w:rsidRPr="003A140B">
        <w:rPr>
          <w:rFonts w:ascii="Arial" w:eastAsia="MS Mincho" w:hAnsi="Arial" w:cs="Arial"/>
          <w:b/>
          <w:bCs/>
          <w:sz w:val="28"/>
          <w:szCs w:val="28"/>
          <w:vertAlign w:val="superscript"/>
          <w:lang w:eastAsia="ja-JP"/>
        </w:rPr>
        <w:t>st</w:t>
      </w:r>
      <w:r w:rsidRPr="003A140B">
        <w:rPr>
          <w:rFonts w:ascii="Arial" w:eastAsia="MS Mincho" w:hAnsi="Arial" w:cs="Arial"/>
          <w:b/>
          <w:bCs/>
          <w:sz w:val="28"/>
          <w:szCs w:val="28"/>
          <w:lang w:eastAsia="ja-JP"/>
        </w:rPr>
        <w:t>, 2017</w:t>
      </w:r>
    </w:p>
    <w:p w:rsidR="00DD21DD" w:rsidRDefault="005331B5">
      <w:pPr>
        <w:tabs>
          <w:tab w:val="left" w:pos="1985"/>
        </w:tabs>
        <w:spacing w:before="156"/>
        <w:ind w:left="1980" w:hanging="1980"/>
        <w:rPr>
          <w:rFonts w:ascii="Arial" w:eastAsiaTheme="minorEastAsia" w:hAnsi="Arial"/>
          <w:b/>
          <w:sz w:val="24"/>
          <w:lang w:val="en-US" w:eastAsia="zh-CN"/>
        </w:rPr>
      </w:pPr>
      <w:r>
        <w:rPr>
          <w:rFonts w:ascii="Arial" w:hAnsi="Arial"/>
          <w:b/>
          <w:sz w:val="24"/>
          <w:lang w:val="en-US" w:eastAsia="zh-CN"/>
        </w:rPr>
        <w:t xml:space="preserve">Title: </w:t>
      </w:r>
      <w:r>
        <w:rPr>
          <w:rFonts w:ascii="Arial" w:hAnsi="Arial"/>
          <w:b/>
          <w:sz w:val="24"/>
          <w:lang w:val="en-US" w:eastAsia="zh-CN"/>
        </w:rPr>
        <w:tab/>
      </w:r>
      <w:r>
        <w:rPr>
          <w:rFonts w:ascii="Arial" w:eastAsiaTheme="minorEastAsia" w:hAnsi="Arial" w:hint="eastAsia"/>
          <w:b/>
          <w:sz w:val="24"/>
          <w:lang w:val="en-US" w:eastAsia="zh-CN"/>
        </w:rPr>
        <w:t xml:space="preserve">Synchronization in </w:t>
      </w:r>
      <w:proofErr w:type="spellStart"/>
      <w:r>
        <w:rPr>
          <w:rFonts w:ascii="Arial" w:eastAsiaTheme="minorEastAsia" w:hAnsi="Arial" w:hint="eastAsia"/>
          <w:b/>
          <w:sz w:val="24"/>
          <w:lang w:val="en-US" w:eastAsia="zh-CN"/>
        </w:rPr>
        <w:t>sidelink</w:t>
      </w:r>
      <w:proofErr w:type="spellEnd"/>
      <w:r>
        <w:rPr>
          <w:rFonts w:ascii="Arial" w:eastAsiaTheme="minorEastAsia" w:hAnsi="Arial" w:hint="eastAsia"/>
          <w:b/>
          <w:sz w:val="24"/>
          <w:lang w:val="en-US" w:eastAsia="zh-CN"/>
        </w:rPr>
        <w:t xml:space="preserve"> CA</w:t>
      </w:r>
    </w:p>
    <w:p w:rsidR="00DD21DD" w:rsidRDefault="005331B5">
      <w:pPr>
        <w:tabs>
          <w:tab w:val="left" w:pos="1985"/>
        </w:tabs>
        <w:spacing w:before="156"/>
        <w:ind w:left="1980" w:hanging="1980"/>
        <w:rPr>
          <w:rFonts w:ascii="Arial" w:hAnsi="Arial"/>
          <w:b/>
          <w:sz w:val="24"/>
          <w:lang w:val="en-US" w:eastAsia="zh-CN"/>
        </w:rPr>
      </w:pPr>
      <w:r>
        <w:rPr>
          <w:rFonts w:ascii="Arial" w:hAnsi="Arial"/>
          <w:b/>
          <w:sz w:val="24"/>
          <w:lang w:val="en-US" w:eastAsia="zh-CN"/>
        </w:rPr>
        <w:t xml:space="preserve">Source: </w:t>
      </w:r>
      <w:r>
        <w:rPr>
          <w:rFonts w:ascii="Arial" w:hAnsi="Arial"/>
          <w:b/>
          <w:sz w:val="24"/>
          <w:lang w:val="en-US" w:eastAsia="zh-CN"/>
        </w:rPr>
        <w:tab/>
        <w:t xml:space="preserve">ZTE, </w:t>
      </w:r>
      <w:proofErr w:type="spellStart"/>
      <w:r>
        <w:rPr>
          <w:rFonts w:ascii="Arial" w:hAnsi="Arial"/>
          <w:b/>
          <w:sz w:val="24"/>
          <w:lang w:val="en-US" w:eastAsia="zh-CN"/>
        </w:rPr>
        <w:t>Sanechips</w:t>
      </w:r>
      <w:proofErr w:type="spellEnd"/>
    </w:p>
    <w:p w:rsidR="00DD21DD" w:rsidRDefault="005331B5">
      <w:pPr>
        <w:tabs>
          <w:tab w:val="left" w:pos="1985"/>
        </w:tabs>
        <w:spacing w:before="156"/>
        <w:rPr>
          <w:rStyle w:val="a4"/>
          <w:rFonts w:eastAsiaTheme="minorEastAsia"/>
          <w:b/>
          <w:lang w:val="pt-BR"/>
        </w:rPr>
      </w:pPr>
      <w:r>
        <w:rPr>
          <w:rFonts w:ascii="Arial" w:hAnsi="Arial"/>
          <w:b/>
          <w:sz w:val="24"/>
          <w:lang w:val="pt-BR"/>
        </w:rPr>
        <w:t>Agenda item:</w:t>
      </w:r>
      <w:r>
        <w:rPr>
          <w:rFonts w:ascii="Arial" w:hAnsi="Arial"/>
          <w:b/>
          <w:sz w:val="24"/>
          <w:lang w:val="pt-BR"/>
        </w:rPr>
        <w:tab/>
      </w:r>
      <w:r>
        <w:rPr>
          <w:rFonts w:ascii="Arial" w:eastAsiaTheme="minorEastAsia" w:hAnsi="Arial" w:hint="eastAsia"/>
          <w:b/>
          <w:sz w:val="24"/>
          <w:lang w:val="en-US" w:eastAsia="zh-CN"/>
        </w:rPr>
        <w:t>6.2.3.1.2</w:t>
      </w:r>
    </w:p>
    <w:p w:rsidR="00DD21DD" w:rsidRDefault="005331B5">
      <w:pPr>
        <w:tabs>
          <w:tab w:val="left" w:pos="1985"/>
        </w:tabs>
        <w:spacing w:before="156"/>
        <w:ind w:left="1980" w:hanging="1980"/>
        <w:rPr>
          <w:rStyle w:val="a4"/>
          <w:b/>
          <w:lang w:val="pt-BR"/>
        </w:rPr>
      </w:pPr>
      <w:r>
        <w:rPr>
          <w:rFonts w:ascii="Arial" w:hAnsi="Arial"/>
          <w:b/>
          <w:sz w:val="24"/>
          <w:lang w:val="pt-BR"/>
        </w:rPr>
        <w:t>Document for:</w:t>
      </w:r>
      <w:r>
        <w:rPr>
          <w:rFonts w:ascii="Arial" w:hAnsi="Arial"/>
          <w:b/>
          <w:sz w:val="24"/>
          <w:lang w:val="pt-BR"/>
        </w:rPr>
        <w:tab/>
      </w:r>
      <w:r>
        <w:rPr>
          <w:rFonts w:ascii="Arial" w:hAnsi="Arial" w:hint="eastAsia"/>
          <w:b/>
          <w:sz w:val="24"/>
          <w:lang w:val="en-US" w:eastAsia="zh-CN"/>
        </w:rPr>
        <w:t>Discussion</w:t>
      </w:r>
    </w:p>
    <w:p w:rsidR="00DD21DD" w:rsidRDefault="005331B5">
      <w:pPr>
        <w:pStyle w:val="Heading1"/>
        <w:spacing w:before="156"/>
        <w:ind w:left="0"/>
        <w:jc w:val="both"/>
        <w:rPr>
          <w:rFonts w:eastAsia="SimSun"/>
          <w:lang w:eastAsia="zh-CN"/>
        </w:rPr>
      </w:pPr>
      <w:r>
        <w:rPr>
          <w:rFonts w:eastAsia="SimSun" w:hint="eastAsia"/>
          <w:lang w:eastAsia="zh-CN"/>
        </w:rPr>
        <w:t>Introduction</w:t>
      </w:r>
    </w:p>
    <w:p w:rsidR="00DD21DD" w:rsidRDefault="005331B5">
      <w:pPr>
        <w:snapToGrid w:val="0"/>
        <w:spacing w:before="156"/>
        <w:jc w:val="both"/>
        <w:rPr>
          <w:rFonts w:eastAsiaTheme="minorEastAsia" w:cs="Arial"/>
          <w:lang w:val="en-US" w:eastAsia="zh-CN"/>
        </w:rPr>
      </w:pPr>
      <w:r>
        <w:rPr>
          <w:rFonts w:eastAsiaTheme="minorEastAsia" w:cs="Arial" w:hint="eastAsia"/>
          <w:lang w:val="en-US" w:eastAsia="zh-CN"/>
        </w:rPr>
        <w:t>Agreements in RAN1#89 meeting.</w:t>
      </w:r>
    </w:p>
    <w:p w:rsidR="00DD21DD" w:rsidRDefault="005331B5">
      <w:pPr>
        <w:spacing w:beforeLines="0" w:after="100" w:line="240" w:lineRule="auto"/>
        <w:rPr>
          <w:rFonts w:eastAsia="MS Mincho"/>
          <w:i/>
          <w:lang w:eastAsia="ja-JP"/>
        </w:rPr>
      </w:pPr>
      <w:r>
        <w:rPr>
          <w:rFonts w:eastAsia="MS Mincho"/>
          <w:i/>
          <w:highlight w:val="green"/>
          <w:lang w:eastAsia="ja-JP"/>
        </w:rPr>
        <w:t>Agreement</w:t>
      </w:r>
      <w:r>
        <w:rPr>
          <w:rFonts w:eastAsia="MS Mincho"/>
          <w:i/>
          <w:lang w:eastAsia="ja-JP"/>
        </w:rPr>
        <w:t>:</w:t>
      </w:r>
    </w:p>
    <w:p w:rsidR="00DD21DD" w:rsidRDefault="005331B5">
      <w:pPr>
        <w:numPr>
          <w:ilvl w:val="0"/>
          <w:numId w:val="9"/>
        </w:numPr>
        <w:snapToGrid w:val="0"/>
        <w:spacing w:beforeLines="0" w:after="100" w:line="240" w:lineRule="auto"/>
        <w:jc w:val="both"/>
        <w:rPr>
          <w:rFonts w:eastAsiaTheme="minorEastAsia" w:cs="Arial"/>
          <w:i/>
          <w:iCs/>
          <w:lang w:val="en-US" w:eastAsia="ja-JP"/>
        </w:rPr>
      </w:pPr>
      <w:r>
        <w:rPr>
          <w:rFonts w:eastAsiaTheme="minorEastAsia" w:cs="Arial" w:hint="eastAsia"/>
          <w:i/>
          <w:iCs/>
          <w:lang w:val="en-US" w:eastAsia="ja-JP"/>
        </w:rPr>
        <w:t>For RAN1, 3 use cases are considered for CA (Note that all use cases may not necessarily be supported):</w:t>
      </w:r>
    </w:p>
    <w:p w:rsidR="00DD21DD" w:rsidRDefault="005331B5">
      <w:pPr>
        <w:numPr>
          <w:ilvl w:val="0"/>
          <w:numId w:val="10"/>
        </w:numPr>
        <w:snapToGrid w:val="0"/>
        <w:spacing w:beforeLines="0" w:after="100" w:line="240" w:lineRule="auto"/>
        <w:ind w:left="840"/>
        <w:jc w:val="both"/>
        <w:rPr>
          <w:rFonts w:eastAsiaTheme="minorEastAsia" w:cs="Arial"/>
          <w:i/>
          <w:iCs/>
          <w:lang w:val="en-US" w:eastAsia="ja-JP"/>
        </w:rPr>
      </w:pPr>
      <w:r>
        <w:rPr>
          <w:rFonts w:eastAsiaTheme="minorEastAsia" w:cs="Arial" w:hint="eastAsia"/>
          <w:i/>
          <w:iCs/>
          <w:lang w:val="en-US" w:eastAsia="ja-JP"/>
        </w:rPr>
        <w:t>Parallel transmission of MAC PDUs (</w:t>
      </w:r>
      <w:r>
        <w:rPr>
          <w:rFonts w:eastAsiaTheme="minorEastAsia" w:cs="Arial" w:hint="eastAsia"/>
          <w:i/>
          <w:iCs/>
          <w:lang w:val="en-US" w:eastAsia="ja-JP"/>
        </w:rPr>
        <w:t>‘</w:t>
      </w:r>
      <w:r>
        <w:rPr>
          <w:rFonts w:eastAsiaTheme="minorEastAsia" w:cs="Arial" w:hint="eastAsia"/>
          <w:i/>
          <w:iCs/>
          <w:lang w:val="en-US" w:eastAsia="ja-JP"/>
        </w:rPr>
        <w:t>parallel</w:t>
      </w:r>
      <w:r>
        <w:rPr>
          <w:rFonts w:eastAsiaTheme="minorEastAsia" w:cs="Arial" w:hint="eastAsia"/>
          <w:i/>
          <w:iCs/>
          <w:lang w:val="en-US" w:eastAsia="ja-JP"/>
        </w:rPr>
        <w:t>’</w:t>
      </w:r>
      <w:r>
        <w:rPr>
          <w:rFonts w:eastAsiaTheme="minorEastAsia" w:cs="Arial" w:hint="eastAsia"/>
          <w:i/>
          <w:iCs/>
          <w:lang w:val="en-US" w:eastAsia="ja-JP"/>
        </w:rPr>
        <w:t xml:space="preserve"> means at the same or different transmission time, but on different carriers). The MAC PDU payloads are different. </w:t>
      </w:r>
    </w:p>
    <w:p w:rsidR="00DD21DD" w:rsidRDefault="005331B5">
      <w:pPr>
        <w:numPr>
          <w:ilvl w:val="0"/>
          <w:numId w:val="10"/>
        </w:numPr>
        <w:snapToGrid w:val="0"/>
        <w:spacing w:beforeLines="0" w:after="100" w:line="240" w:lineRule="auto"/>
        <w:ind w:left="840"/>
        <w:jc w:val="both"/>
        <w:rPr>
          <w:rFonts w:eastAsiaTheme="minorEastAsia" w:cs="Arial"/>
          <w:i/>
          <w:iCs/>
          <w:lang w:val="en-US" w:eastAsia="ja-JP"/>
        </w:rPr>
      </w:pPr>
      <w:r>
        <w:rPr>
          <w:rFonts w:eastAsiaTheme="minorEastAsia" w:cs="Arial" w:hint="eastAsia"/>
          <w:i/>
          <w:iCs/>
          <w:lang w:val="en-US" w:eastAsia="ja-JP"/>
        </w:rPr>
        <w:t>Parallel transmission of replicated copies of the same packet (</w:t>
      </w:r>
      <w:r>
        <w:rPr>
          <w:rFonts w:eastAsiaTheme="minorEastAsia" w:cs="Arial" w:hint="eastAsia"/>
          <w:i/>
          <w:iCs/>
          <w:lang w:val="en-US" w:eastAsia="ja-JP"/>
        </w:rPr>
        <w:t>‘</w:t>
      </w:r>
      <w:r>
        <w:rPr>
          <w:rFonts w:eastAsiaTheme="minorEastAsia" w:cs="Arial" w:hint="eastAsia"/>
          <w:i/>
          <w:iCs/>
          <w:lang w:val="en-US" w:eastAsia="ja-JP"/>
        </w:rPr>
        <w:t>parallel</w:t>
      </w:r>
      <w:r>
        <w:rPr>
          <w:rFonts w:eastAsiaTheme="minorEastAsia" w:cs="Arial" w:hint="eastAsia"/>
          <w:i/>
          <w:iCs/>
          <w:lang w:val="en-US" w:eastAsia="ja-JP"/>
        </w:rPr>
        <w:t>’</w:t>
      </w:r>
      <w:r>
        <w:rPr>
          <w:rFonts w:eastAsiaTheme="minorEastAsia" w:cs="Arial" w:hint="eastAsia"/>
          <w:i/>
          <w:iCs/>
          <w:lang w:val="en-US" w:eastAsia="ja-JP"/>
        </w:rPr>
        <w:t xml:space="preserve"> means at the same or different transmission time, but on different carriers)</w:t>
      </w:r>
    </w:p>
    <w:p w:rsidR="00DD21DD" w:rsidRDefault="005331B5">
      <w:pPr>
        <w:numPr>
          <w:ilvl w:val="0"/>
          <w:numId w:val="11"/>
        </w:numPr>
        <w:snapToGrid w:val="0"/>
        <w:spacing w:beforeLines="0" w:after="100" w:line="240" w:lineRule="auto"/>
        <w:ind w:left="1260"/>
        <w:jc w:val="both"/>
        <w:rPr>
          <w:rFonts w:eastAsiaTheme="minorEastAsia" w:cs="Arial"/>
          <w:i/>
          <w:iCs/>
          <w:lang w:val="en-US" w:eastAsia="ja-JP"/>
        </w:rPr>
      </w:pPr>
      <w:r>
        <w:rPr>
          <w:rFonts w:eastAsiaTheme="minorEastAsia" w:cs="Arial" w:hint="eastAsia"/>
          <w:i/>
          <w:iCs/>
          <w:lang w:val="en-US" w:eastAsia="ja-JP"/>
        </w:rPr>
        <w:t>FFS at which layer replication is done</w:t>
      </w:r>
    </w:p>
    <w:p w:rsidR="00DD21DD" w:rsidRDefault="005331B5">
      <w:pPr>
        <w:numPr>
          <w:ilvl w:val="0"/>
          <w:numId w:val="10"/>
        </w:numPr>
        <w:snapToGrid w:val="0"/>
        <w:spacing w:beforeLines="0" w:after="100" w:line="240" w:lineRule="auto"/>
        <w:ind w:left="840"/>
        <w:jc w:val="both"/>
        <w:rPr>
          <w:rFonts w:eastAsiaTheme="minorEastAsia" w:cs="Arial"/>
          <w:i/>
          <w:iCs/>
          <w:lang w:val="en-US" w:eastAsia="ja-JP"/>
        </w:rPr>
      </w:pPr>
      <w:r>
        <w:rPr>
          <w:rFonts w:eastAsiaTheme="minorEastAsia" w:cs="Arial" w:hint="eastAsia"/>
          <w:i/>
          <w:iCs/>
          <w:lang w:val="en-US" w:eastAsia="ja-JP"/>
        </w:rPr>
        <w:t>Capacity improvements from the receiver perspective</w:t>
      </w:r>
    </w:p>
    <w:p w:rsidR="00DD21DD" w:rsidRDefault="005331B5">
      <w:pPr>
        <w:numPr>
          <w:ilvl w:val="0"/>
          <w:numId w:val="11"/>
        </w:numPr>
        <w:snapToGrid w:val="0"/>
        <w:spacing w:beforeLines="0" w:after="100" w:line="240" w:lineRule="auto"/>
        <w:ind w:left="1260"/>
        <w:jc w:val="both"/>
        <w:rPr>
          <w:rFonts w:eastAsiaTheme="minorEastAsia" w:cs="Arial"/>
          <w:i/>
          <w:iCs/>
          <w:lang w:val="en-US" w:eastAsia="ja-JP"/>
        </w:rPr>
      </w:pPr>
      <w:r>
        <w:rPr>
          <w:rFonts w:eastAsiaTheme="minorEastAsia" w:cs="Arial" w:hint="eastAsia"/>
          <w:i/>
          <w:iCs/>
          <w:lang w:val="en-US" w:eastAsia="ja-JP"/>
        </w:rPr>
        <w:t>Note: From the receiver</w:t>
      </w:r>
      <w:r>
        <w:rPr>
          <w:rFonts w:eastAsiaTheme="minorEastAsia" w:cs="Arial" w:hint="eastAsia"/>
          <w:i/>
          <w:iCs/>
          <w:lang w:val="en-US" w:eastAsia="ja-JP"/>
        </w:rPr>
        <w:t>’</w:t>
      </w:r>
      <w:r>
        <w:rPr>
          <w:rFonts w:eastAsiaTheme="minorEastAsia" w:cs="Arial" w:hint="eastAsia"/>
          <w:i/>
          <w:iCs/>
          <w:lang w:val="en-US" w:eastAsia="ja-JP"/>
        </w:rPr>
        <w:t>s perspective, simultaneous reception over multiple carriers is assumed. From a transmitter</w:t>
      </w:r>
      <w:r>
        <w:rPr>
          <w:rFonts w:eastAsiaTheme="minorEastAsia" w:cs="Arial" w:hint="eastAsia"/>
          <w:i/>
          <w:iCs/>
          <w:lang w:val="en-US" w:eastAsia="ja-JP"/>
        </w:rPr>
        <w:t>’</w:t>
      </w:r>
      <w:r>
        <w:rPr>
          <w:rFonts w:eastAsiaTheme="minorEastAsia" w:cs="Arial" w:hint="eastAsia"/>
          <w:i/>
          <w:iCs/>
          <w:lang w:val="en-US" w:eastAsia="ja-JP"/>
        </w:rPr>
        <w:t>s perspective, transmission occurs over a subset of the available carriers</w:t>
      </w:r>
    </w:p>
    <w:p w:rsidR="00DD21DD" w:rsidRDefault="005331B5">
      <w:pPr>
        <w:numPr>
          <w:ilvl w:val="0"/>
          <w:numId w:val="11"/>
        </w:numPr>
        <w:snapToGrid w:val="0"/>
        <w:spacing w:beforeLines="0" w:after="100" w:line="240" w:lineRule="auto"/>
        <w:ind w:left="1260"/>
        <w:jc w:val="both"/>
        <w:rPr>
          <w:lang w:eastAsia="zh-CN"/>
        </w:rPr>
      </w:pPr>
      <w:r>
        <w:rPr>
          <w:rFonts w:eastAsiaTheme="minorEastAsia" w:cs="Arial" w:hint="eastAsia"/>
          <w:i/>
          <w:iCs/>
          <w:lang w:val="en-US" w:eastAsia="ja-JP"/>
        </w:rPr>
        <w:t>For example, capacity could be increased a UE transmits on a single carrier (which can be different for each UE), but receives over all carriers</w:t>
      </w:r>
    </w:p>
    <w:p w:rsidR="00DD21DD" w:rsidRDefault="005331B5">
      <w:pPr>
        <w:snapToGrid w:val="0"/>
        <w:spacing w:before="156"/>
        <w:jc w:val="both"/>
        <w:rPr>
          <w:rFonts w:cs="Arial"/>
          <w:lang w:eastAsia="zh-CN"/>
        </w:rPr>
      </w:pPr>
      <w:r>
        <w:rPr>
          <w:rFonts w:eastAsiaTheme="minorEastAsia" w:cs="Arial" w:hint="eastAsia"/>
          <w:lang w:val="en-US" w:eastAsia="zh-CN"/>
        </w:rPr>
        <w:t xml:space="preserve">In the past RAN1#90bis meeting, there are a lot of discussions on the synchronization in </w:t>
      </w:r>
      <w:proofErr w:type="spellStart"/>
      <w:r>
        <w:rPr>
          <w:rFonts w:eastAsiaTheme="minorEastAsia" w:cs="Arial" w:hint="eastAsia"/>
          <w:lang w:val="en-US" w:eastAsia="zh-CN"/>
        </w:rPr>
        <w:t>sidelink</w:t>
      </w:r>
      <w:proofErr w:type="spellEnd"/>
      <w:r>
        <w:rPr>
          <w:rFonts w:eastAsiaTheme="minorEastAsia" w:cs="Arial" w:hint="eastAsia"/>
          <w:lang w:val="en-US" w:eastAsia="zh-CN"/>
        </w:rPr>
        <w:t xml:space="preserve"> CA, but we were only able to get a working assumption from the transmitting UE perspective</w:t>
      </w:r>
      <w:r>
        <w:rPr>
          <w:rFonts w:cs="Arial" w:hint="eastAsia"/>
          <w:lang w:eastAsia="zh-CN"/>
        </w:rPr>
        <w:t>.</w:t>
      </w:r>
    </w:p>
    <w:p w:rsidR="00DD21DD" w:rsidRDefault="005331B5">
      <w:pPr>
        <w:spacing w:beforeLines="0" w:after="100" w:line="240" w:lineRule="auto"/>
        <w:rPr>
          <w:rFonts w:eastAsia="MS Mincho"/>
          <w:i/>
          <w:lang w:eastAsia="ja-JP"/>
        </w:rPr>
      </w:pPr>
      <w:r>
        <w:rPr>
          <w:rFonts w:hint="eastAsia"/>
          <w:i/>
          <w:highlight w:val="green"/>
          <w:lang w:val="en-US" w:eastAsia="zh-CN"/>
        </w:rPr>
        <w:t>Work assumption</w:t>
      </w:r>
      <w:r>
        <w:rPr>
          <w:rFonts w:eastAsia="MS Mincho"/>
          <w:i/>
          <w:lang w:eastAsia="ja-JP"/>
        </w:rPr>
        <w:t>:</w:t>
      </w:r>
    </w:p>
    <w:p w:rsidR="00DD21DD" w:rsidRDefault="005331B5">
      <w:pPr>
        <w:numPr>
          <w:ilvl w:val="0"/>
          <w:numId w:val="9"/>
        </w:numPr>
        <w:snapToGrid w:val="0"/>
        <w:spacing w:beforeLines="0" w:after="100" w:line="240" w:lineRule="auto"/>
        <w:jc w:val="both"/>
        <w:rPr>
          <w:rFonts w:eastAsiaTheme="minorEastAsia" w:cs="Arial"/>
          <w:i/>
          <w:iCs/>
          <w:lang w:val="en-US" w:eastAsia="ja-JP"/>
        </w:rPr>
      </w:pPr>
      <w:r>
        <w:rPr>
          <w:rFonts w:eastAsiaTheme="minorEastAsia" w:cs="Arial" w:hint="eastAsia"/>
          <w:i/>
          <w:iCs/>
          <w:lang w:val="en-US" w:eastAsia="ja-JP"/>
        </w:rPr>
        <w:t>From the transmitting UE perspective, a single synchronization reference is used for all aggregated carriers</w:t>
      </w:r>
    </w:p>
    <w:p w:rsidR="00DD21DD" w:rsidRDefault="005331B5">
      <w:pPr>
        <w:numPr>
          <w:ilvl w:val="0"/>
          <w:numId w:val="10"/>
        </w:numPr>
        <w:snapToGrid w:val="0"/>
        <w:spacing w:beforeLines="0" w:after="100" w:line="240" w:lineRule="auto"/>
        <w:ind w:left="840"/>
        <w:jc w:val="both"/>
        <w:rPr>
          <w:rFonts w:eastAsiaTheme="minorEastAsia" w:cs="Arial"/>
          <w:i/>
          <w:iCs/>
          <w:lang w:val="en-US" w:eastAsia="ja-JP"/>
        </w:rPr>
      </w:pPr>
      <w:r>
        <w:rPr>
          <w:rFonts w:eastAsiaTheme="minorEastAsia" w:cs="Arial" w:hint="eastAsia"/>
          <w:i/>
          <w:iCs/>
          <w:lang w:val="en-US" w:eastAsia="ja-JP"/>
        </w:rPr>
        <w:t>When a UE transmits multiple MAC PDUs on multiple carriers, timing on all transmission carriers is aligned</w:t>
      </w:r>
    </w:p>
    <w:p w:rsidR="00DD21DD" w:rsidRDefault="005331B5">
      <w:pPr>
        <w:snapToGrid w:val="0"/>
        <w:spacing w:before="156"/>
        <w:jc w:val="both"/>
        <w:rPr>
          <w:rFonts w:cs="Arial"/>
          <w:lang w:eastAsia="zh-CN"/>
        </w:rPr>
      </w:pPr>
      <w:r>
        <w:rPr>
          <w:rFonts w:eastAsiaTheme="minorEastAsia" w:cs="Arial" w:hint="eastAsia"/>
          <w:lang w:eastAsia="zh-CN"/>
        </w:rPr>
        <w:t xml:space="preserve">In this contribution, we </w:t>
      </w:r>
      <w:r>
        <w:rPr>
          <w:rFonts w:eastAsiaTheme="minorEastAsia" w:cs="Arial" w:hint="eastAsia"/>
          <w:lang w:val="en-US" w:eastAsia="zh-CN"/>
        </w:rPr>
        <w:t xml:space="preserve">will further discuss </w:t>
      </w:r>
      <w:r>
        <w:rPr>
          <w:rFonts w:eastAsiaTheme="minorEastAsia" w:cs="Arial" w:hint="eastAsia"/>
          <w:lang w:eastAsia="zh-CN"/>
        </w:rPr>
        <w:t xml:space="preserve">the </w:t>
      </w:r>
      <w:r>
        <w:rPr>
          <w:rFonts w:eastAsiaTheme="minorEastAsia" w:cs="Arial" w:hint="eastAsia"/>
          <w:lang w:val="en-US" w:eastAsia="zh-CN"/>
        </w:rPr>
        <w:t xml:space="preserve">issues related to the synchronization of </w:t>
      </w:r>
      <w:proofErr w:type="spellStart"/>
      <w:r>
        <w:rPr>
          <w:rFonts w:eastAsiaTheme="minorEastAsia" w:cs="Arial" w:hint="eastAsia"/>
          <w:lang w:val="en-US" w:eastAsia="zh-CN"/>
        </w:rPr>
        <w:t>sidelink</w:t>
      </w:r>
      <w:proofErr w:type="spellEnd"/>
      <w:r>
        <w:rPr>
          <w:rFonts w:eastAsiaTheme="minorEastAsia" w:cs="Arial" w:hint="eastAsia"/>
          <w:lang w:val="en-US" w:eastAsia="zh-CN"/>
        </w:rPr>
        <w:t xml:space="preserve"> carrier aggregation</w:t>
      </w:r>
      <w:r>
        <w:rPr>
          <w:rFonts w:eastAsiaTheme="minorEastAsia" w:cs="Arial"/>
          <w:lang w:eastAsia="zh-CN"/>
        </w:rPr>
        <w:t xml:space="preserve">. </w:t>
      </w:r>
    </w:p>
    <w:p w:rsidR="00DD21DD" w:rsidRDefault="005331B5">
      <w:pPr>
        <w:pStyle w:val="Heading1"/>
        <w:spacing w:before="156"/>
        <w:ind w:left="0"/>
        <w:rPr>
          <w:rFonts w:eastAsiaTheme="minorEastAsia"/>
          <w:lang w:val="en-US" w:eastAsia="zh-CN"/>
        </w:rPr>
      </w:pPr>
      <w:r>
        <w:rPr>
          <w:rFonts w:eastAsiaTheme="minorEastAsia" w:hint="eastAsia"/>
          <w:lang w:val="en-US" w:eastAsia="zh-CN"/>
        </w:rPr>
        <w:t>Discussion</w:t>
      </w:r>
    </w:p>
    <w:p w:rsidR="00DD21DD" w:rsidRDefault="005331B5">
      <w:pPr>
        <w:pStyle w:val="Heading2"/>
        <w:spacing w:before="156"/>
        <w:ind w:left="0" w:right="200"/>
        <w:rPr>
          <w:lang w:val="en-US" w:eastAsia="zh-CN"/>
        </w:rPr>
      </w:pPr>
      <w:r>
        <w:rPr>
          <w:rFonts w:hint="eastAsia"/>
          <w:lang w:val="en-US" w:eastAsia="zh-CN"/>
        </w:rPr>
        <w:t xml:space="preserve">Synchronization source selection in </w:t>
      </w:r>
      <w:proofErr w:type="spellStart"/>
      <w:r>
        <w:rPr>
          <w:rFonts w:hint="eastAsia"/>
          <w:lang w:val="en-US" w:eastAsia="zh-CN"/>
        </w:rPr>
        <w:t>sidelink</w:t>
      </w:r>
      <w:proofErr w:type="spellEnd"/>
      <w:r>
        <w:rPr>
          <w:rFonts w:hint="eastAsia"/>
          <w:lang w:val="en-US" w:eastAsia="zh-CN"/>
        </w:rPr>
        <w:t xml:space="preserve"> CA</w:t>
      </w:r>
    </w:p>
    <w:p w:rsidR="00DD21DD" w:rsidRDefault="005331B5">
      <w:pPr>
        <w:spacing w:before="156"/>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t>
      </w:r>
      <w:r>
        <w:rPr>
          <w:rFonts w:eastAsiaTheme="minorEastAsia" w:hint="eastAsia"/>
          <w:lang w:val="en-US" w:eastAsia="zh-CN"/>
        </w:rPr>
        <w:t xml:space="preserve">V2X </w:t>
      </w:r>
      <w:r>
        <w:rPr>
          <w:rFonts w:eastAsiaTheme="minorEastAsia"/>
          <w:lang w:val="en-US" w:eastAsia="zh-CN"/>
        </w:rPr>
        <w:t xml:space="preserve">Rel-14, </w:t>
      </w:r>
      <w:r>
        <w:rPr>
          <w:rFonts w:eastAsiaTheme="minorEastAsia" w:hint="eastAsia"/>
          <w:lang w:val="en-US" w:eastAsia="zh-CN"/>
        </w:rPr>
        <w:t xml:space="preserve">the </w:t>
      </w:r>
      <w:r>
        <w:rPr>
          <w:rFonts w:eastAsiaTheme="minorEastAsia"/>
          <w:lang w:val="en-US" w:eastAsia="zh-CN"/>
        </w:rPr>
        <w:t xml:space="preserve">synchronization </w:t>
      </w:r>
      <w:r>
        <w:rPr>
          <w:rFonts w:eastAsiaTheme="minorEastAsia" w:hint="eastAsia"/>
          <w:lang w:val="en-US" w:eastAsia="zh-CN"/>
        </w:rPr>
        <w:t>configurations</w:t>
      </w:r>
      <w:r>
        <w:rPr>
          <w:rFonts w:eastAsiaTheme="minorEastAsia"/>
          <w:lang w:val="en-US" w:eastAsia="zh-CN"/>
        </w:rPr>
        <w:t xml:space="preserve"> are</w:t>
      </w:r>
      <w:r>
        <w:rPr>
          <w:rFonts w:eastAsiaTheme="minorEastAsia" w:hint="eastAsia"/>
          <w:lang w:val="en-US" w:eastAsia="zh-CN"/>
        </w:rPr>
        <w:t xml:space="preserve"> (pre)configured per carrier, and UEs select their synchronization reference source per carrier depending on the availability and (pre)configured priorities. According to the objectives of the WID on V2X phase 2, the solutions for the new PC5 functionalities, e.g</w:t>
      </w:r>
      <w:r>
        <w:rPr>
          <w:rFonts w:eastAsiaTheme="minorEastAsia"/>
          <w:lang w:val="en-US" w:eastAsia="zh-CN"/>
        </w:rPr>
        <w:t>.</w:t>
      </w:r>
      <w:r>
        <w:rPr>
          <w:rFonts w:eastAsiaTheme="minorEastAsia" w:hint="eastAsia"/>
          <w:lang w:val="en-US" w:eastAsia="zh-CN"/>
        </w:rPr>
        <w:t xml:space="preserve"> carrier aggregation, can co-exist in the </w:t>
      </w:r>
      <w:r>
        <w:rPr>
          <w:rFonts w:eastAsiaTheme="minorEastAsia" w:hint="eastAsia"/>
          <w:lang w:val="en-US" w:eastAsia="zh-CN"/>
        </w:rPr>
        <w:lastRenderedPageBreak/>
        <w:t xml:space="preserve">same resource pools as Rel-14 functionality. In order to support this, </w:t>
      </w:r>
      <w:r>
        <w:rPr>
          <w:rFonts w:hint="eastAsia"/>
          <w:lang w:val="en-US" w:eastAsia="zh-CN"/>
        </w:rPr>
        <w:t xml:space="preserve">it is natural to assume that the same </w:t>
      </w:r>
      <w:r>
        <w:rPr>
          <w:rFonts w:eastAsiaTheme="minorEastAsia"/>
          <w:lang w:val="en-US" w:eastAsia="zh-CN"/>
        </w:rPr>
        <w:t xml:space="preserve">synchronization </w:t>
      </w:r>
      <w:r>
        <w:rPr>
          <w:rFonts w:eastAsiaTheme="minorEastAsia" w:hint="eastAsia"/>
          <w:lang w:val="en-US" w:eastAsia="zh-CN"/>
        </w:rPr>
        <w:t xml:space="preserve">source will be used for Rel-15 UEs and Rel-14 UEs on the same carrier. </w:t>
      </w:r>
    </w:p>
    <w:p w:rsidR="00DD21DD" w:rsidRDefault="005331B5">
      <w:pPr>
        <w:spacing w:before="156"/>
        <w:rPr>
          <w:rFonts w:eastAsiaTheme="minorEastAsia"/>
          <w:b/>
          <w:bCs/>
          <w:lang w:val="en-US" w:eastAsia="zh-CN"/>
        </w:rPr>
      </w:pPr>
      <w:r>
        <w:rPr>
          <w:rFonts w:eastAsiaTheme="minorEastAsia" w:hint="eastAsia"/>
          <w:b/>
          <w:bCs/>
          <w:lang w:val="en-US" w:eastAsia="zh-CN"/>
        </w:rPr>
        <w:t xml:space="preserve">Observation 1: To support co-existence with Rel-14 UEs, </w:t>
      </w:r>
      <w:r>
        <w:rPr>
          <w:rFonts w:hint="eastAsia"/>
          <w:b/>
          <w:bCs/>
          <w:lang w:val="en-US" w:eastAsia="zh-CN"/>
        </w:rPr>
        <w:t xml:space="preserve">the same </w:t>
      </w:r>
      <w:r>
        <w:rPr>
          <w:rFonts w:eastAsiaTheme="minorEastAsia"/>
          <w:b/>
          <w:bCs/>
          <w:lang w:val="en-US" w:eastAsia="zh-CN"/>
        </w:rPr>
        <w:t xml:space="preserve">synchronization </w:t>
      </w:r>
      <w:r>
        <w:rPr>
          <w:rFonts w:eastAsiaTheme="minorEastAsia" w:hint="eastAsia"/>
          <w:b/>
          <w:bCs/>
          <w:lang w:val="en-US" w:eastAsia="zh-CN"/>
        </w:rPr>
        <w:t>source should be used for Rel-15 UEs and Rel-14 UEs on the same carrier.</w:t>
      </w:r>
    </w:p>
    <w:p w:rsidR="00DD21DD" w:rsidRDefault="005331B5">
      <w:pPr>
        <w:spacing w:before="156"/>
        <w:rPr>
          <w:lang w:val="en-US" w:eastAsia="zh-CN"/>
        </w:rPr>
      </w:pPr>
      <w:r>
        <w:rPr>
          <w:rFonts w:eastAsiaTheme="minorEastAsia" w:hint="eastAsia"/>
          <w:lang w:val="en-US" w:eastAsia="zh-CN"/>
        </w:rPr>
        <w:t>So</w:t>
      </w:r>
      <w:r>
        <w:rPr>
          <w:rFonts w:eastAsiaTheme="minorEastAsia"/>
          <w:lang w:val="en-US" w:eastAsia="zh-CN"/>
        </w:rPr>
        <w:t>,</w:t>
      </w:r>
      <w:r>
        <w:rPr>
          <w:rFonts w:eastAsiaTheme="minorEastAsia" w:hint="eastAsia"/>
          <w:lang w:val="en-US" w:eastAsia="zh-CN"/>
        </w:rPr>
        <w:t xml:space="preserve"> in our point of view, the synchronization </w:t>
      </w:r>
      <w:r>
        <w:rPr>
          <w:rFonts w:hint="eastAsia"/>
          <w:lang w:val="en-US" w:eastAsia="zh-CN"/>
        </w:rPr>
        <w:t xml:space="preserve">configuration in </w:t>
      </w:r>
      <w:r>
        <w:rPr>
          <w:lang w:val="en-US" w:eastAsia="zh-CN"/>
        </w:rPr>
        <w:t>Rel-</w:t>
      </w:r>
      <w:r>
        <w:rPr>
          <w:rFonts w:hint="eastAsia"/>
          <w:lang w:val="en-US" w:eastAsia="zh-CN"/>
        </w:rPr>
        <w:t xml:space="preserve">15 should be the same as </w:t>
      </w:r>
      <w:r>
        <w:rPr>
          <w:lang w:val="en-US" w:eastAsia="zh-CN"/>
        </w:rPr>
        <w:t>Rel-</w:t>
      </w:r>
      <w:r>
        <w:rPr>
          <w:rFonts w:hint="eastAsia"/>
          <w:lang w:val="en-US" w:eastAsia="zh-CN"/>
        </w:rPr>
        <w:t xml:space="preserve">14, </w:t>
      </w:r>
      <w:r>
        <w:rPr>
          <w:lang w:val="en-US" w:eastAsia="zh-CN"/>
        </w:rPr>
        <w:t xml:space="preserve">meaning </w:t>
      </w:r>
      <w:r>
        <w:rPr>
          <w:rFonts w:hint="eastAsia"/>
          <w:lang w:val="en-US" w:eastAsia="zh-CN"/>
        </w:rPr>
        <w:t>Rel-15 UEs will use the same rules as Rel-14 UEs to select the synchronization source on each component carrier.  According to the discussion, the main concern of using the same synchronization source selection rules</w:t>
      </w:r>
      <w:r>
        <w:rPr>
          <w:rFonts w:hint="eastAsia"/>
        </w:rPr>
        <w:t xml:space="preserve"> for Rel-15 </w:t>
      </w:r>
      <w:proofErr w:type="spellStart"/>
      <w:r>
        <w:rPr>
          <w:rFonts w:hint="eastAsia"/>
        </w:rPr>
        <w:t>sidelink</w:t>
      </w:r>
      <w:proofErr w:type="spellEnd"/>
      <w:r>
        <w:rPr>
          <w:rFonts w:hint="eastAsia"/>
        </w:rPr>
        <w:t xml:space="preserve"> CA</w:t>
      </w:r>
      <w:r>
        <w:rPr>
          <w:rFonts w:hint="eastAsia"/>
          <w:lang w:val="en-US" w:eastAsia="zh-CN"/>
        </w:rPr>
        <w:t xml:space="preserve"> may be that, it may lead to different subframe boundaries and </w:t>
      </w:r>
      <w:r w:rsidR="00091BFB">
        <w:rPr>
          <w:lang w:val="en-US" w:eastAsia="zh-CN"/>
        </w:rPr>
        <w:t>Direct Frame Number (</w:t>
      </w:r>
      <w:r>
        <w:rPr>
          <w:rFonts w:hint="eastAsia"/>
          <w:lang w:val="en-US" w:eastAsia="zh-CN"/>
        </w:rPr>
        <w:t>DFN</w:t>
      </w:r>
      <w:r w:rsidR="00091BFB">
        <w:rPr>
          <w:lang w:val="en-US" w:eastAsia="zh-CN"/>
        </w:rPr>
        <w:t>)</w:t>
      </w:r>
      <w:r>
        <w:rPr>
          <w:rFonts w:hint="eastAsia"/>
        </w:rPr>
        <w:t xml:space="preserve"> </w:t>
      </w:r>
      <w:r>
        <w:t>on</w:t>
      </w:r>
      <w:r>
        <w:rPr>
          <w:rFonts w:hint="eastAsia"/>
        </w:rPr>
        <w:t xml:space="preserve"> </w:t>
      </w:r>
      <w:r>
        <w:t>different</w:t>
      </w:r>
      <w:r>
        <w:rPr>
          <w:rFonts w:hint="eastAsia"/>
        </w:rPr>
        <w:t xml:space="preserve"> carriers. </w:t>
      </w:r>
      <w:r>
        <w:rPr>
          <w:rFonts w:hint="eastAsia"/>
          <w:lang w:val="en-US" w:eastAsia="zh-CN"/>
        </w:rPr>
        <w:t xml:space="preserve">But in our point </w:t>
      </w:r>
      <w:r>
        <w:rPr>
          <w:lang w:val="en-US" w:eastAsia="zh-CN"/>
        </w:rPr>
        <w:t xml:space="preserve">of </w:t>
      </w:r>
      <w:r>
        <w:rPr>
          <w:rFonts w:hint="eastAsia"/>
          <w:lang w:val="en-US" w:eastAsia="zh-CN"/>
        </w:rPr>
        <w:t xml:space="preserve">views the per carrier synchronization configuration can be (pre)configured </w:t>
      </w:r>
      <w:r>
        <w:rPr>
          <w:lang w:val="en-US" w:eastAsia="zh-CN"/>
        </w:rPr>
        <w:t xml:space="preserve">and </w:t>
      </w:r>
      <w:r>
        <w:rPr>
          <w:rFonts w:hint="eastAsia"/>
          <w:lang w:val="en-US" w:eastAsia="zh-CN"/>
        </w:rPr>
        <w:t>the same among multiple carriers</w:t>
      </w:r>
      <w:r>
        <w:rPr>
          <w:lang w:val="en-US" w:eastAsia="zh-CN"/>
        </w:rPr>
        <w:t>. In</w:t>
      </w:r>
      <w:r>
        <w:rPr>
          <w:rFonts w:hint="eastAsia"/>
          <w:lang w:val="en-US" w:eastAsia="zh-CN"/>
        </w:rPr>
        <w:t xml:space="preserve"> this case, UEs</w:t>
      </w:r>
      <w:r>
        <w:rPr>
          <w:rFonts w:hint="eastAsia"/>
        </w:rPr>
        <w:t xml:space="preserve"> may </w:t>
      </w:r>
      <w:r>
        <w:rPr>
          <w:rFonts w:hint="eastAsia"/>
          <w:lang w:val="en-US" w:eastAsia="zh-CN"/>
        </w:rPr>
        <w:t>select the same</w:t>
      </w:r>
      <w:r>
        <w:rPr>
          <w:rFonts w:hint="eastAsia"/>
        </w:rPr>
        <w:t xml:space="preserve"> timing </w:t>
      </w:r>
      <w:r>
        <w:t>reference</w:t>
      </w:r>
      <w:r>
        <w:rPr>
          <w:rFonts w:hint="eastAsia"/>
          <w:lang w:val="en-US" w:eastAsia="zh-CN"/>
        </w:rPr>
        <w:t xml:space="preserve"> with high probability</w:t>
      </w:r>
      <w:r>
        <w:rPr>
          <w:lang w:val="en-US" w:eastAsia="zh-CN"/>
        </w:rPr>
        <w:t xml:space="preserve"> and</w:t>
      </w:r>
      <w:r>
        <w:rPr>
          <w:rFonts w:hint="eastAsia"/>
          <w:lang w:val="en-US" w:eastAsia="zh-CN"/>
        </w:rPr>
        <w:t xml:space="preserve"> even the synchronization source is selected independently per carrier.</w:t>
      </w:r>
    </w:p>
    <w:p w:rsidR="00DD21DD" w:rsidRDefault="005331B5">
      <w:pPr>
        <w:spacing w:before="156"/>
        <w:rPr>
          <w:rFonts w:eastAsiaTheme="minorEastAsia"/>
          <w:b/>
          <w:bCs/>
          <w:lang w:val="en-US" w:eastAsia="zh-CN"/>
        </w:rPr>
      </w:pPr>
      <w:r>
        <w:rPr>
          <w:rFonts w:hint="eastAsia"/>
          <w:b/>
          <w:bCs/>
          <w:lang w:val="en-US" w:eastAsia="zh-CN"/>
        </w:rPr>
        <w:t>Propose 1: Per carrier synchronization configuration is reused in Rel-15 and Rel-15 UEs should select</w:t>
      </w:r>
      <w:r>
        <w:rPr>
          <w:rFonts w:eastAsiaTheme="minorEastAsia" w:hint="eastAsia"/>
          <w:b/>
          <w:bCs/>
          <w:lang w:val="en-US" w:eastAsia="zh-CN"/>
        </w:rPr>
        <w:t xml:space="preserve"> synchronization source on each carrier with the same selection rules as Rel-14 UEs.</w:t>
      </w:r>
    </w:p>
    <w:p w:rsidR="00DD21DD" w:rsidRDefault="005331B5">
      <w:pPr>
        <w:spacing w:before="156"/>
        <w:rPr>
          <w:lang w:val="en-US" w:eastAsia="zh-CN"/>
        </w:rPr>
      </w:pPr>
      <w:r>
        <w:rPr>
          <w:rFonts w:hint="eastAsia"/>
          <w:lang w:val="en-US" w:eastAsia="zh-CN"/>
        </w:rPr>
        <w:t>According to discussion</w:t>
      </w:r>
      <w:r>
        <w:rPr>
          <w:lang w:val="en-US" w:eastAsia="zh-CN"/>
        </w:rPr>
        <w:t>s from</w:t>
      </w:r>
      <w:r>
        <w:rPr>
          <w:rFonts w:hint="eastAsia"/>
          <w:lang w:val="en-US" w:eastAsia="zh-CN"/>
        </w:rPr>
        <w:t xml:space="preserve"> </w:t>
      </w:r>
      <w:r>
        <w:rPr>
          <w:lang w:val="en-US" w:eastAsia="zh-CN"/>
        </w:rPr>
        <w:t xml:space="preserve">the </w:t>
      </w:r>
      <w:r>
        <w:rPr>
          <w:rFonts w:hint="eastAsia"/>
          <w:lang w:val="en-US" w:eastAsia="zh-CN"/>
        </w:rPr>
        <w:t>last meeting</w:t>
      </w:r>
      <w:r>
        <w:rPr>
          <w:lang w:val="en-US" w:eastAsia="zh-CN"/>
        </w:rPr>
        <w:t xml:space="preserve"> as provided in [2]</w:t>
      </w:r>
      <w:r>
        <w:rPr>
          <w:rFonts w:hint="eastAsia"/>
          <w:lang w:val="en-US" w:eastAsia="zh-CN"/>
        </w:rPr>
        <w:t>, a work</w:t>
      </w:r>
      <w:r>
        <w:rPr>
          <w:lang w:val="en-US" w:eastAsia="zh-CN"/>
        </w:rPr>
        <w:t>ing</w:t>
      </w:r>
      <w:r>
        <w:rPr>
          <w:rFonts w:hint="eastAsia"/>
          <w:lang w:val="en-US" w:eastAsia="zh-CN"/>
        </w:rPr>
        <w:t xml:space="preserve"> assumption is agreed that a single synchronization reference is used for all aggregated carriers.  In our point view, this </w:t>
      </w:r>
      <w:r>
        <w:rPr>
          <w:lang w:val="en-US" w:eastAsia="zh-CN"/>
        </w:rPr>
        <w:t>working assumption</w:t>
      </w:r>
      <w:r>
        <w:rPr>
          <w:rFonts w:hint="eastAsia"/>
          <w:lang w:val="en-US" w:eastAsia="zh-CN"/>
        </w:rPr>
        <w:t xml:space="preserve"> should also take the synchronization selection rules defined in Rel-14 into consideration. </w:t>
      </w:r>
      <w:r>
        <w:rPr>
          <w:lang w:val="en-US" w:eastAsia="zh-CN"/>
        </w:rPr>
        <w:t>So, we propose the following modification to the working assumption for agreement:</w:t>
      </w:r>
    </w:p>
    <w:p w:rsidR="00DD21DD" w:rsidRDefault="005331B5">
      <w:pPr>
        <w:spacing w:before="156"/>
        <w:rPr>
          <w:b/>
          <w:lang w:val="en-US" w:eastAsia="zh-CN"/>
        </w:rPr>
      </w:pPr>
      <w:r>
        <w:rPr>
          <w:b/>
          <w:lang w:val="en-US" w:eastAsia="zh-CN"/>
        </w:rPr>
        <w:t>Proposal 2:</w:t>
      </w:r>
    </w:p>
    <w:p w:rsidR="00DD21DD" w:rsidRDefault="005331B5">
      <w:pPr>
        <w:pStyle w:val="ListParagraph4"/>
        <w:numPr>
          <w:ilvl w:val="0"/>
          <w:numId w:val="12"/>
        </w:numPr>
        <w:snapToGrid w:val="0"/>
        <w:spacing w:beforeLines="0" w:before="156" w:after="100" w:line="240" w:lineRule="auto"/>
        <w:jc w:val="both"/>
        <w:rPr>
          <w:rFonts w:eastAsiaTheme="minorEastAsia" w:cs="Arial"/>
          <w:b/>
          <w:iCs/>
          <w:lang w:val="en-US" w:eastAsia="ja-JP"/>
        </w:rPr>
      </w:pPr>
      <w:r>
        <w:rPr>
          <w:rFonts w:eastAsiaTheme="minorEastAsia" w:cs="Arial" w:hint="eastAsia"/>
          <w:b/>
          <w:iCs/>
          <w:lang w:val="en-US" w:eastAsia="ja-JP"/>
        </w:rPr>
        <w:t>From the transmitting UE perspective, a single synchronization reference is used for all aggregated carriers</w:t>
      </w:r>
      <w:r>
        <w:rPr>
          <w:rFonts w:eastAsiaTheme="minorEastAsia" w:cs="Arial"/>
          <w:b/>
          <w:iCs/>
          <w:lang w:val="en-US" w:eastAsia="ja-JP"/>
        </w:rPr>
        <w:t xml:space="preserve"> depending on the synchronization rules defined for Rel-14 UEs.</w:t>
      </w:r>
    </w:p>
    <w:p w:rsidR="00DD21DD" w:rsidRDefault="005331B5">
      <w:pPr>
        <w:numPr>
          <w:ilvl w:val="0"/>
          <w:numId w:val="10"/>
        </w:numPr>
        <w:snapToGrid w:val="0"/>
        <w:spacing w:beforeLines="0" w:after="100" w:line="240" w:lineRule="auto"/>
        <w:ind w:left="1124"/>
        <w:rPr>
          <w:rFonts w:eastAsiaTheme="minorEastAsia" w:cs="Arial"/>
          <w:b/>
          <w:iCs/>
          <w:lang w:val="en-US" w:eastAsia="ja-JP"/>
        </w:rPr>
      </w:pPr>
      <w:r>
        <w:rPr>
          <w:rFonts w:eastAsiaTheme="minorEastAsia" w:cs="Arial" w:hint="eastAsia"/>
          <w:b/>
          <w:iCs/>
          <w:lang w:val="en-US" w:eastAsia="ja-JP"/>
        </w:rPr>
        <w:t>When a UE transmits multiple MAC PDUs on multiple carriers, timing on all transmission carriers is aligned</w:t>
      </w:r>
    </w:p>
    <w:p w:rsidR="00DD21DD" w:rsidRDefault="005331B5">
      <w:pPr>
        <w:pStyle w:val="Heading2"/>
        <w:spacing w:before="156"/>
        <w:ind w:left="0" w:right="200"/>
        <w:rPr>
          <w:rFonts w:eastAsiaTheme="minorEastAsia"/>
          <w:lang w:val="en-US" w:eastAsia="zh-CN"/>
        </w:rPr>
      </w:pPr>
      <w:r>
        <w:rPr>
          <w:rFonts w:hint="eastAsia"/>
          <w:lang w:val="en-US" w:eastAsia="zh-CN"/>
        </w:rPr>
        <w:t>Synchronization of the aggregated carriers</w:t>
      </w:r>
    </w:p>
    <w:p w:rsidR="00DD21DD" w:rsidRDefault="005331B5">
      <w:pPr>
        <w:spacing w:before="156"/>
        <w:rPr>
          <w:rFonts w:eastAsiaTheme="minorEastAsia"/>
          <w:lang w:val="en-US" w:eastAsia="zh-CN"/>
        </w:rPr>
      </w:pPr>
      <w:r>
        <w:rPr>
          <w:rFonts w:eastAsiaTheme="minorEastAsia" w:hint="eastAsia"/>
          <w:lang w:val="en-US" w:eastAsia="zh-CN"/>
        </w:rPr>
        <w:t xml:space="preserve">In the past RAN1#90bis meeting, the following two synchronization scenarios </w:t>
      </w:r>
      <w:r>
        <w:rPr>
          <w:rFonts w:eastAsiaTheme="minorEastAsia"/>
          <w:lang w:val="en-US" w:eastAsia="zh-CN"/>
        </w:rPr>
        <w:t>were</w:t>
      </w:r>
      <w:r>
        <w:rPr>
          <w:rFonts w:eastAsiaTheme="minorEastAsia" w:hint="eastAsia"/>
          <w:lang w:val="en-US" w:eastAsia="zh-CN"/>
        </w:rPr>
        <w:t xml:space="preserve"> discussed for PC5 CA.</w:t>
      </w:r>
    </w:p>
    <w:p w:rsidR="00DD21DD" w:rsidRPr="00F92AFB" w:rsidRDefault="005331B5" w:rsidP="00F92AFB">
      <w:pPr>
        <w:pStyle w:val="ListParagraph"/>
        <w:numPr>
          <w:ilvl w:val="0"/>
          <w:numId w:val="15"/>
        </w:numPr>
        <w:spacing w:before="156"/>
        <w:rPr>
          <w:rFonts w:eastAsiaTheme="minorEastAsia"/>
          <w:lang w:val="en-US" w:eastAsia="zh-CN"/>
        </w:rPr>
      </w:pPr>
      <w:r w:rsidRPr="00F92AFB">
        <w:rPr>
          <w:rFonts w:eastAsiaTheme="minorEastAsia" w:hint="eastAsia"/>
          <w:lang w:val="en-US" w:eastAsia="zh-CN"/>
        </w:rPr>
        <w:t></w:t>
      </w:r>
      <w:r w:rsidRPr="00F92AFB">
        <w:rPr>
          <w:rFonts w:eastAsiaTheme="minorEastAsia" w:hint="eastAsia"/>
          <w:lang w:val="en-US" w:eastAsia="zh-CN"/>
        </w:rPr>
        <w:t>Scenario 1: All aggregated CCs share the same synchronization reference.</w:t>
      </w:r>
    </w:p>
    <w:p w:rsidR="00DD21DD" w:rsidRPr="00F92AFB" w:rsidRDefault="005331B5" w:rsidP="00F92AFB">
      <w:pPr>
        <w:pStyle w:val="ListParagraph"/>
        <w:numPr>
          <w:ilvl w:val="0"/>
          <w:numId w:val="15"/>
        </w:numPr>
        <w:spacing w:before="156"/>
        <w:rPr>
          <w:rFonts w:eastAsiaTheme="minorEastAsia"/>
          <w:lang w:val="en-US" w:eastAsia="zh-CN"/>
        </w:rPr>
      </w:pPr>
      <w:r w:rsidRPr="00F92AFB">
        <w:rPr>
          <w:rFonts w:eastAsiaTheme="minorEastAsia" w:hint="eastAsia"/>
          <w:lang w:val="en-US" w:eastAsia="zh-CN"/>
        </w:rPr>
        <w:t></w:t>
      </w:r>
      <w:r w:rsidRPr="00F92AFB">
        <w:rPr>
          <w:rFonts w:eastAsiaTheme="minorEastAsia" w:hint="eastAsia"/>
          <w:lang w:val="en-US" w:eastAsia="zh-CN"/>
        </w:rPr>
        <w:t xml:space="preserve">Scenario 2: The aggregated CCs have more than one synchronization reference. </w:t>
      </w:r>
    </w:p>
    <w:p w:rsidR="00DD21DD" w:rsidRDefault="005331B5">
      <w:pPr>
        <w:spacing w:before="156"/>
        <w:rPr>
          <w:lang w:val="en-US" w:eastAsia="zh-CN"/>
        </w:rPr>
      </w:pPr>
      <w:r>
        <w:rPr>
          <w:lang w:val="en-US" w:eastAsia="zh-CN"/>
        </w:rPr>
        <w:t xml:space="preserve">In our point of view, scenario 2 should also be considered. </w:t>
      </w:r>
      <w:r>
        <w:rPr>
          <w:rFonts w:hint="eastAsia"/>
          <w:lang w:val="en-US" w:eastAsia="zh-CN"/>
        </w:rPr>
        <w:t xml:space="preserve">In </w:t>
      </w:r>
      <w:r>
        <w:rPr>
          <w:lang w:val="en-US" w:eastAsia="zh-CN"/>
        </w:rPr>
        <w:t>Rel-</w:t>
      </w:r>
      <w:r>
        <w:rPr>
          <w:rFonts w:hint="eastAsia"/>
          <w:lang w:val="en-US" w:eastAsia="zh-CN"/>
        </w:rPr>
        <w:t xml:space="preserve">14, </w:t>
      </w:r>
      <w:r>
        <w:rPr>
          <w:lang w:val="en-US" w:eastAsia="zh-CN"/>
        </w:rPr>
        <w:t>there are three</w:t>
      </w:r>
      <w:r>
        <w:rPr>
          <w:rFonts w:hint="eastAsia"/>
          <w:lang w:val="en-US" w:eastAsia="zh-CN"/>
        </w:rPr>
        <w:t xml:space="preserve"> main synchronization sources i.e</w:t>
      </w:r>
      <w:r>
        <w:rPr>
          <w:lang w:val="en-US" w:eastAsia="zh-CN"/>
        </w:rPr>
        <w:t>.</w:t>
      </w:r>
      <w:r>
        <w:rPr>
          <w:rFonts w:hint="eastAsia"/>
          <w:lang w:val="en-US" w:eastAsia="zh-CN"/>
        </w:rPr>
        <w:t xml:space="preserve"> </w:t>
      </w:r>
      <w:r>
        <w:rPr>
          <w:lang w:val="en-US" w:eastAsia="zh-CN"/>
        </w:rPr>
        <w:t xml:space="preserve">GNSS, </w:t>
      </w:r>
      <w:proofErr w:type="spellStart"/>
      <w:r>
        <w:rPr>
          <w:lang w:val="en-US" w:eastAsia="zh-CN"/>
        </w:rPr>
        <w:t>eNB</w:t>
      </w:r>
      <w:proofErr w:type="spellEnd"/>
      <w:r>
        <w:rPr>
          <w:lang w:val="en-US" w:eastAsia="zh-CN"/>
        </w:rPr>
        <w:t>, and SLSS</w:t>
      </w:r>
      <w:r>
        <w:rPr>
          <w:rFonts w:hint="eastAsia"/>
          <w:lang w:val="en-US" w:eastAsia="zh-CN"/>
        </w:rPr>
        <w:t xml:space="preserve"> </w:t>
      </w:r>
      <w:r>
        <w:rPr>
          <w:lang w:val="en-US" w:eastAsia="zh-CN"/>
        </w:rPr>
        <w:t xml:space="preserve">that </w:t>
      </w:r>
      <w:r>
        <w:rPr>
          <w:rFonts w:hint="eastAsia"/>
          <w:lang w:val="en-US" w:eastAsia="zh-CN"/>
        </w:rPr>
        <w:t xml:space="preserve">have been defined and one high probability deployment scenario may be that the GNSS will be the synchronization reference used by Rel-14 UEs in </w:t>
      </w:r>
      <w:r>
        <w:rPr>
          <w:lang w:val="en-US" w:eastAsia="zh-CN"/>
        </w:rPr>
        <w:t>the Intelligent transportation system (</w:t>
      </w:r>
      <w:r>
        <w:rPr>
          <w:rFonts w:hint="eastAsia"/>
          <w:lang w:val="en-US" w:eastAsia="zh-CN"/>
        </w:rPr>
        <w:t>ITS</w:t>
      </w:r>
      <w:r>
        <w:rPr>
          <w:lang w:val="en-US" w:eastAsia="zh-CN"/>
        </w:rPr>
        <w:t>)</w:t>
      </w:r>
      <w:r>
        <w:rPr>
          <w:rFonts w:hint="eastAsia"/>
          <w:lang w:val="en-US" w:eastAsia="zh-CN"/>
        </w:rPr>
        <w:t xml:space="preserve"> dedicated band and the </w:t>
      </w:r>
      <w:proofErr w:type="spellStart"/>
      <w:r>
        <w:rPr>
          <w:rFonts w:hint="eastAsia"/>
          <w:lang w:val="en-US" w:eastAsia="zh-CN"/>
        </w:rPr>
        <w:t>eNB</w:t>
      </w:r>
      <w:proofErr w:type="spellEnd"/>
      <w:r>
        <w:rPr>
          <w:rFonts w:hint="eastAsia"/>
          <w:lang w:val="en-US" w:eastAsia="zh-CN"/>
        </w:rPr>
        <w:t xml:space="preserve"> timing will be used in the license band. </w:t>
      </w:r>
    </w:p>
    <w:p w:rsidR="00DD21DD" w:rsidRDefault="005331B5">
      <w:pPr>
        <w:spacing w:before="156"/>
        <w:rPr>
          <w:lang w:val="en-US" w:eastAsia="zh-CN"/>
        </w:rPr>
      </w:pPr>
      <w:r>
        <w:rPr>
          <w:rFonts w:eastAsiaTheme="minorEastAsia" w:hint="eastAsia"/>
          <w:b/>
          <w:bCs/>
          <w:lang w:val="en-US" w:eastAsia="zh-CN"/>
        </w:rPr>
        <w:t xml:space="preserve">Observation </w:t>
      </w:r>
      <w:r>
        <w:rPr>
          <w:rFonts w:eastAsiaTheme="minorEastAsia"/>
          <w:b/>
          <w:bCs/>
          <w:lang w:val="en-US" w:eastAsia="zh-CN"/>
        </w:rPr>
        <w:t>2</w:t>
      </w:r>
      <w:r>
        <w:rPr>
          <w:rFonts w:eastAsiaTheme="minorEastAsia" w:hint="eastAsia"/>
          <w:b/>
          <w:bCs/>
          <w:lang w:val="en-US" w:eastAsia="zh-CN"/>
        </w:rPr>
        <w:t>: It may be a high probability deployment scenario that different synchronization reference may be used in different bands.</w:t>
      </w:r>
    </w:p>
    <w:p w:rsidR="00DD21DD" w:rsidRDefault="005331B5">
      <w:pPr>
        <w:spacing w:before="156"/>
        <w:rPr>
          <w:lang w:val="en-US" w:eastAsia="zh-CN"/>
        </w:rPr>
      </w:pPr>
      <w:r>
        <w:rPr>
          <w:rFonts w:hint="eastAsia"/>
          <w:lang w:val="en-US" w:eastAsia="zh-CN"/>
        </w:rPr>
        <w:t>It mean</w:t>
      </w:r>
      <w:r>
        <w:rPr>
          <w:lang w:val="en-US" w:eastAsia="zh-CN"/>
        </w:rPr>
        <w:t>s</w:t>
      </w:r>
      <w:r>
        <w:rPr>
          <w:rFonts w:hint="eastAsia"/>
          <w:lang w:val="en-US" w:eastAsia="zh-CN"/>
        </w:rPr>
        <w:t xml:space="preserve"> that different synchronization references </w:t>
      </w:r>
      <w:r>
        <w:rPr>
          <w:lang w:val="en-US" w:eastAsia="zh-CN"/>
        </w:rPr>
        <w:t>may be used</w:t>
      </w:r>
      <w:r>
        <w:rPr>
          <w:rFonts w:hint="eastAsia"/>
          <w:lang w:val="en-US" w:eastAsia="zh-CN"/>
        </w:rPr>
        <w:t xml:space="preserve"> in different bands for Rel-15 UEs</w:t>
      </w:r>
      <w:r>
        <w:rPr>
          <w:lang w:val="en-US" w:eastAsia="zh-CN"/>
        </w:rPr>
        <w:t xml:space="preserve">. For scenario 2, the working assumption would not be applicable for the case that different synchronization reference may be used in </w:t>
      </w:r>
      <w:r>
        <w:rPr>
          <w:lang w:val="en-US" w:eastAsia="zh-CN"/>
        </w:rPr>
        <w:lastRenderedPageBreak/>
        <w:t xml:space="preserve">different bands. Nevertheless, it’s possible that UEs can support two transmission chains/timings. </w:t>
      </w:r>
      <w:r>
        <w:rPr>
          <w:rFonts w:eastAsiaTheme="minorEastAsia" w:hint="eastAsia"/>
          <w:lang w:val="en-US" w:eastAsia="zh-CN"/>
        </w:rPr>
        <w:t>So</w:t>
      </w:r>
      <w:r>
        <w:rPr>
          <w:rFonts w:eastAsiaTheme="minorEastAsia"/>
          <w:lang w:val="en-US" w:eastAsia="zh-CN"/>
        </w:rPr>
        <w:t>,</w:t>
      </w:r>
      <w:r>
        <w:rPr>
          <w:rFonts w:eastAsiaTheme="minorEastAsia" w:hint="eastAsia"/>
          <w:lang w:val="en-US" w:eastAsia="zh-CN"/>
        </w:rPr>
        <w:t xml:space="preserve"> in order to not reduce the </w:t>
      </w:r>
      <w:r>
        <w:rPr>
          <w:rFonts w:hint="eastAsia"/>
          <w:lang w:val="en-US" w:eastAsia="zh-CN"/>
        </w:rPr>
        <w:t xml:space="preserve">deployment flexibility, </w:t>
      </w:r>
      <w:r>
        <w:rPr>
          <w:rFonts w:eastAsiaTheme="minorEastAsia" w:hint="eastAsia"/>
          <w:lang w:val="en-US" w:eastAsia="zh-CN"/>
        </w:rPr>
        <w:t xml:space="preserve">it should be FFS for scenario </w:t>
      </w:r>
      <w:r>
        <w:rPr>
          <w:rFonts w:eastAsiaTheme="minorEastAsia"/>
          <w:lang w:val="en-US" w:eastAsia="zh-CN"/>
        </w:rPr>
        <w:t xml:space="preserve">2 </w:t>
      </w:r>
      <w:r w:rsidR="001252F1">
        <w:rPr>
          <w:rFonts w:eastAsiaTheme="minorEastAsia"/>
          <w:lang w:val="en-US" w:eastAsia="zh-CN"/>
        </w:rPr>
        <w:t>whether</w:t>
      </w:r>
      <w:r>
        <w:rPr>
          <w:rFonts w:eastAsiaTheme="minorEastAsia"/>
          <w:lang w:val="en-US" w:eastAsia="zh-CN"/>
        </w:rPr>
        <w:t xml:space="preserve"> </w:t>
      </w:r>
      <w:r>
        <w:rPr>
          <w:lang w:val="en-US" w:eastAsia="zh-CN"/>
        </w:rPr>
        <w:t>different</w:t>
      </w:r>
      <w:r>
        <w:rPr>
          <w:rFonts w:hint="eastAsia"/>
          <w:lang w:val="en-US" w:eastAsia="zh-CN"/>
        </w:rPr>
        <w:t xml:space="preserve"> synchronization references on different bands</w:t>
      </w:r>
      <w:r>
        <w:rPr>
          <w:lang w:val="en-US" w:eastAsia="zh-CN"/>
        </w:rPr>
        <w:t xml:space="preserve"> is supported</w:t>
      </w:r>
      <w:r>
        <w:rPr>
          <w:rFonts w:hint="eastAsia"/>
          <w:lang w:val="en-US" w:eastAsia="zh-CN"/>
        </w:rPr>
        <w:t xml:space="preserve">. </w:t>
      </w:r>
    </w:p>
    <w:p w:rsidR="00DD21DD" w:rsidRDefault="005331B5">
      <w:pPr>
        <w:spacing w:before="156"/>
        <w:rPr>
          <w:b/>
          <w:bCs/>
          <w:lang w:val="en-US" w:eastAsia="zh-CN"/>
        </w:rPr>
      </w:pPr>
      <w:r>
        <w:rPr>
          <w:rFonts w:hint="eastAsia"/>
          <w:b/>
          <w:bCs/>
          <w:lang w:val="en-US" w:eastAsia="zh-CN"/>
        </w:rPr>
        <w:t>Propos</w:t>
      </w:r>
      <w:r>
        <w:rPr>
          <w:b/>
          <w:bCs/>
          <w:lang w:val="en-US" w:eastAsia="zh-CN"/>
        </w:rPr>
        <w:t>al</w:t>
      </w:r>
      <w:r>
        <w:rPr>
          <w:rFonts w:hint="eastAsia"/>
          <w:b/>
          <w:bCs/>
          <w:lang w:val="en-US" w:eastAsia="zh-CN"/>
        </w:rPr>
        <w:t xml:space="preserve"> </w:t>
      </w:r>
      <w:r>
        <w:rPr>
          <w:b/>
          <w:bCs/>
          <w:lang w:val="en-US" w:eastAsia="zh-CN"/>
        </w:rPr>
        <w:t>3</w:t>
      </w:r>
      <w:r>
        <w:rPr>
          <w:rFonts w:hint="eastAsia"/>
          <w:b/>
          <w:bCs/>
          <w:lang w:val="en-US" w:eastAsia="zh-CN"/>
        </w:rPr>
        <w:t xml:space="preserve">: </w:t>
      </w:r>
      <w:r>
        <w:rPr>
          <w:b/>
          <w:bCs/>
          <w:lang w:val="en-US" w:eastAsia="zh-CN"/>
        </w:rPr>
        <w:t xml:space="preserve">FFS whether different synchronization references on different bands is supported, in order to not reduce the deployment flexibility of </w:t>
      </w:r>
      <w:proofErr w:type="spellStart"/>
      <w:r>
        <w:rPr>
          <w:b/>
          <w:bCs/>
          <w:lang w:val="en-US" w:eastAsia="zh-CN"/>
        </w:rPr>
        <w:t>sidelink</w:t>
      </w:r>
      <w:proofErr w:type="spellEnd"/>
      <w:r>
        <w:rPr>
          <w:b/>
          <w:bCs/>
          <w:lang w:val="en-US" w:eastAsia="zh-CN"/>
        </w:rPr>
        <w:t xml:space="preserve"> CA.</w:t>
      </w:r>
    </w:p>
    <w:p w:rsidR="00DD21DD" w:rsidRDefault="005331B5">
      <w:pPr>
        <w:pStyle w:val="Heading2"/>
        <w:spacing w:before="156"/>
        <w:ind w:left="0" w:right="200"/>
        <w:rPr>
          <w:szCs w:val="22"/>
          <w:lang w:val="en-US" w:eastAsia="zh-CN"/>
        </w:rPr>
      </w:pPr>
      <w:r>
        <w:rPr>
          <w:rFonts w:hint="eastAsia"/>
          <w:szCs w:val="22"/>
          <w:lang w:val="en-US" w:eastAsia="zh-CN"/>
        </w:rPr>
        <w:t>Synchronization signals transmission and reception</w:t>
      </w:r>
    </w:p>
    <w:p w:rsidR="00DD21DD" w:rsidRDefault="005331B5">
      <w:pPr>
        <w:spacing w:before="156"/>
        <w:rPr>
          <w:rFonts w:eastAsiaTheme="minorEastAsia"/>
          <w:lang w:val="en-US" w:eastAsia="zh-CN"/>
        </w:rPr>
      </w:pPr>
      <w:r>
        <w:rPr>
          <w:rFonts w:eastAsiaTheme="minorEastAsia" w:hint="eastAsia"/>
          <w:lang w:val="en-US" w:eastAsia="zh-CN"/>
        </w:rPr>
        <w:t>In our point of view, the co-existence of Rel</w:t>
      </w:r>
      <w:r>
        <w:rPr>
          <w:rFonts w:eastAsiaTheme="minorEastAsia"/>
          <w:lang w:val="en-US" w:eastAsia="zh-CN"/>
        </w:rPr>
        <w:t>-</w:t>
      </w:r>
      <w:r>
        <w:rPr>
          <w:rFonts w:eastAsiaTheme="minorEastAsia" w:hint="eastAsia"/>
          <w:lang w:val="en-US" w:eastAsia="zh-CN"/>
        </w:rPr>
        <w:t>14 and Rel</w:t>
      </w:r>
      <w:r>
        <w:rPr>
          <w:rFonts w:eastAsiaTheme="minorEastAsia"/>
          <w:lang w:val="en-US" w:eastAsia="zh-CN"/>
        </w:rPr>
        <w:t>-</w:t>
      </w:r>
      <w:r>
        <w:rPr>
          <w:rFonts w:eastAsiaTheme="minorEastAsia" w:hint="eastAsia"/>
          <w:lang w:val="en-US" w:eastAsia="zh-CN"/>
        </w:rPr>
        <w:t xml:space="preserve">15 UE should be supported and it is </w:t>
      </w:r>
      <w:r>
        <w:rPr>
          <w:rFonts w:eastAsiaTheme="minorEastAsia"/>
          <w:lang w:val="en-US" w:eastAsia="zh-CN"/>
        </w:rPr>
        <w:t>beneficial</w:t>
      </w:r>
      <w:r>
        <w:rPr>
          <w:rFonts w:eastAsiaTheme="minorEastAsia" w:hint="eastAsia"/>
          <w:lang w:val="en-US" w:eastAsia="zh-CN"/>
        </w:rPr>
        <w:t xml:space="preserve"> to transmit the SLSS according to the mechanism defined in Rel-14, e.g. whether UE transmits the SLSS on one aggregated carrier depending on the (pre)configuration on the carrier and UE</w:t>
      </w:r>
      <w:r>
        <w:rPr>
          <w:rFonts w:eastAsiaTheme="minorEastAsia"/>
          <w:lang w:val="en-US" w:eastAsia="zh-CN"/>
        </w:rPr>
        <w:t>’</w:t>
      </w:r>
      <w:r>
        <w:rPr>
          <w:rFonts w:eastAsiaTheme="minorEastAsia" w:hint="eastAsia"/>
          <w:lang w:val="en-US" w:eastAsia="zh-CN"/>
        </w:rPr>
        <w:t xml:space="preserve">s capability. And from the transmitter perspective, there is no need to define anchor carriers or primary carrier for </w:t>
      </w:r>
      <w:proofErr w:type="spellStart"/>
      <w:r>
        <w:rPr>
          <w:rFonts w:eastAsiaTheme="minorEastAsia" w:hint="eastAsia"/>
          <w:lang w:val="en-US" w:eastAsia="zh-CN"/>
        </w:rPr>
        <w:t>sidelink</w:t>
      </w:r>
      <w:proofErr w:type="spellEnd"/>
      <w:r>
        <w:rPr>
          <w:rFonts w:eastAsiaTheme="minorEastAsia" w:hint="eastAsia"/>
          <w:lang w:val="en-US" w:eastAsia="zh-CN"/>
        </w:rPr>
        <w:t xml:space="preserve"> CA.  But </w:t>
      </w:r>
      <w:r>
        <w:rPr>
          <w:rFonts w:eastAsia="MS Mincho"/>
          <w:iCs/>
          <w:lang w:eastAsia="ja-JP"/>
        </w:rPr>
        <w:t>from the receiver perspective</w:t>
      </w:r>
      <w:r>
        <w:rPr>
          <w:rFonts w:hint="eastAsia"/>
          <w:iCs/>
          <w:lang w:val="en-US" w:eastAsia="zh-CN"/>
        </w:rPr>
        <w:t xml:space="preserve">, UE </w:t>
      </w:r>
      <w:r>
        <w:rPr>
          <w:rFonts w:eastAsiaTheme="minorEastAsia" w:hint="eastAsia"/>
          <w:lang w:val="en-US" w:eastAsia="zh-CN"/>
        </w:rPr>
        <w:t>can choose to just receive the synchronization signals on one of the aggregated carriers or receive the synchronization signals on all the aggregated carriers, which is depend</w:t>
      </w:r>
      <w:r>
        <w:rPr>
          <w:rFonts w:eastAsiaTheme="minorEastAsia"/>
          <w:lang w:val="en-US" w:eastAsia="zh-CN"/>
        </w:rPr>
        <w:t xml:space="preserve">ent </w:t>
      </w:r>
      <w:r>
        <w:rPr>
          <w:rFonts w:eastAsiaTheme="minorEastAsia" w:hint="eastAsia"/>
          <w:lang w:val="en-US" w:eastAsia="zh-CN"/>
        </w:rPr>
        <w:t>on UE</w:t>
      </w:r>
      <w:r>
        <w:rPr>
          <w:rFonts w:eastAsiaTheme="minorEastAsia"/>
          <w:lang w:val="en-US" w:eastAsia="zh-CN"/>
        </w:rPr>
        <w:t>’</w:t>
      </w:r>
      <w:r>
        <w:rPr>
          <w:rFonts w:eastAsiaTheme="minorEastAsia" w:hint="eastAsia"/>
          <w:lang w:val="en-US" w:eastAsia="zh-CN"/>
        </w:rPr>
        <w:t>s implementation.</w:t>
      </w:r>
    </w:p>
    <w:p w:rsidR="00DD21DD" w:rsidRDefault="005331B5">
      <w:pPr>
        <w:spacing w:before="156"/>
        <w:rPr>
          <w:b/>
          <w:lang w:val="en-US" w:eastAsia="zh-CN"/>
        </w:rPr>
      </w:pPr>
      <w:r>
        <w:rPr>
          <w:rFonts w:hint="eastAsia"/>
          <w:b/>
          <w:lang w:eastAsia="zh-CN"/>
        </w:rPr>
        <w:t xml:space="preserve">Proposal </w:t>
      </w:r>
      <w:r>
        <w:rPr>
          <w:b/>
          <w:lang w:val="en-US" w:eastAsia="zh-CN"/>
        </w:rPr>
        <w:t>4</w:t>
      </w:r>
      <w:r>
        <w:rPr>
          <w:rFonts w:hint="eastAsia"/>
          <w:b/>
          <w:lang w:val="en-US" w:eastAsia="zh-CN"/>
        </w:rPr>
        <w:t>: F</w:t>
      </w:r>
      <w:r>
        <w:rPr>
          <w:rFonts w:hint="eastAsia"/>
          <w:b/>
          <w:lang w:val="en-US" w:eastAsia="ja-JP"/>
        </w:rPr>
        <w:t xml:space="preserve">rom the </w:t>
      </w:r>
      <w:r>
        <w:rPr>
          <w:rFonts w:hint="eastAsia"/>
          <w:b/>
          <w:lang w:val="en-US" w:eastAsia="zh-CN"/>
        </w:rPr>
        <w:t>transmitter</w:t>
      </w:r>
      <w:r>
        <w:rPr>
          <w:rFonts w:hint="eastAsia"/>
          <w:b/>
          <w:lang w:val="en-US" w:eastAsia="ja-JP"/>
        </w:rPr>
        <w:t xml:space="preserve"> perspective</w:t>
      </w:r>
      <w:r>
        <w:rPr>
          <w:rFonts w:hint="eastAsia"/>
          <w:b/>
          <w:lang w:val="en-US" w:eastAsia="zh-CN"/>
        </w:rPr>
        <w:t xml:space="preserve">, UE should use the mechanism defined in Rel-14 to determine whether </w:t>
      </w:r>
      <w:r>
        <w:rPr>
          <w:b/>
          <w:lang w:val="en-US" w:eastAsia="zh-CN"/>
        </w:rPr>
        <w:t>the</w:t>
      </w:r>
      <w:r>
        <w:rPr>
          <w:rFonts w:hint="eastAsia"/>
          <w:b/>
          <w:lang w:val="en-US" w:eastAsia="zh-CN"/>
        </w:rPr>
        <w:t xml:space="preserve"> SLSS should be transmitted on one aggregated carrier or not. </w:t>
      </w:r>
    </w:p>
    <w:p w:rsidR="00DD21DD" w:rsidRDefault="005331B5">
      <w:pPr>
        <w:spacing w:before="156"/>
        <w:rPr>
          <w:b/>
          <w:lang w:eastAsia="zh-CN"/>
        </w:rPr>
      </w:pPr>
      <w:r>
        <w:rPr>
          <w:b/>
          <w:lang w:val="en-US" w:eastAsia="zh-CN"/>
        </w:rPr>
        <w:t xml:space="preserve">Proposal 5: </w:t>
      </w:r>
      <w:r>
        <w:rPr>
          <w:rFonts w:hint="eastAsia"/>
          <w:b/>
          <w:lang w:val="en-US" w:eastAsia="zh-CN"/>
        </w:rPr>
        <w:t xml:space="preserve">From the receiver perspective, </w:t>
      </w:r>
      <w:r>
        <w:rPr>
          <w:b/>
          <w:lang w:val="en-US" w:eastAsia="zh-CN"/>
        </w:rPr>
        <w:t xml:space="preserve">the </w:t>
      </w:r>
      <w:r>
        <w:rPr>
          <w:rFonts w:hint="eastAsia"/>
          <w:b/>
          <w:lang w:val="en-US" w:eastAsia="zh-CN"/>
        </w:rPr>
        <w:t>UE may just receive the SLSS on one of the aggregated carriers or receive the synchronization signals on all the aggregated carriers, which is depend</w:t>
      </w:r>
      <w:r>
        <w:rPr>
          <w:b/>
          <w:lang w:val="en-US" w:eastAsia="zh-CN"/>
        </w:rPr>
        <w:t>ent</w:t>
      </w:r>
      <w:r>
        <w:rPr>
          <w:rFonts w:hint="eastAsia"/>
          <w:b/>
          <w:lang w:val="en-US" w:eastAsia="zh-CN"/>
        </w:rPr>
        <w:t xml:space="preserve"> on UE</w:t>
      </w:r>
      <w:r>
        <w:rPr>
          <w:b/>
          <w:lang w:val="en-US" w:eastAsia="zh-CN"/>
        </w:rPr>
        <w:t>’</w:t>
      </w:r>
      <w:r>
        <w:rPr>
          <w:rFonts w:hint="eastAsia"/>
          <w:b/>
          <w:lang w:val="en-US" w:eastAsia="zh-CN"/>
        </w:rPr>
        <w:t>s implementation.</w:t>
      </w:r>
    </w:p>
    <w:p w:rsidR="00DD21DD" w:rsidRDefault="00DD21DD">
      <w:pPr>
        <w:spacing w:before="156"/>
        <w:jc w:val="both"/>
        <w:rPr>
          <w:b/>
          <w:lang w:val="en-US" w:eastAsia="zh-CN"/>
        </w:rPr>
      </w:pPr>
    </w:p>
    <w:p w:rsidR="00DD21DD" w:rsidRDefault="005331B5">
      <w:pPr>
        <w:pStyle w:val="Heading1"/>
        <w:spacing w:before="156"/>
        <w:ind w:left="0"/>
        <w:rPr>
          <w:rFonts w:eastAsia="SimSun"/>
          <w:lang w:eastAsia="zh-CN"/>
        </w:rPr>
      </w:pPr>
      <w:bookmarkStart w:id="2" w:name="OLE_LINK1"/>
      <w:bookmarkStart w:id="3" w:name="OLE_LINK2"/>
      <w:r>
        <w:rPr>
          <w:rFonts w:eastAsia="SimSun" w:hint="eastAsia"/>
          <w:lang w:eastAsia="zh-CN"/>
        </w:rPr>
        <w:t>Conclusion</w:t>
      </w:r>
    </w:p>
    <w:p w:rsidR="00DD21DD" w:rsidRDefault="005331B5">
      <w:pPr>
        <w:snapToGrid w:val="0"/>
        <w:spacing w:before="156"/>
        <w:jc w:val="both"/>
        <w:rPr>
          <w:rFonts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 xml:space="preserve">, </w:t>
      </w:r>
      <w:r>
        <w:rPr>
          <w:rFonts w:eastAsiaTheme="minorEastAsia" w:cs="Arial" w:hint="eastAsia"/>
          <w:lang w:val="en-US" w:eastAsia="zh-CN"/>
        </w:rPr>
        <w:t xml:space="preserve">the synchronization problems </w:t>
      </w:r>
      <w:r>
        <w:rPr>
          <w:rFonts w:eastAsiaTheme="minorEastAsia" w:cs="Arial" w:hint="eastAsia"/>
          <w:lang w:eastAsia="zh-CN"/>
        </w:rPr>
        <w:t>of PC5 carriers</w:t>
      </w:r>
      <w:r>
        <w:rPr>
          <w:rFonts w:eastAsiaTheme="minorEastAsia" w:cs="Arial"/>
          <w:lang w:eastAsia="zh-CN"/>
        </w:rPr>
        <w:t>’</w:t>
      </w:r>
      <w:r>
        <w:rPr>
          <w:rFonts w:eastAsiaTheme="minorEastAsia" w:cs="Arial" w:hint="eastAsia"/>
          <w:lang w:val="en-US" w:eastAsia="zh-CN"/>
        </w:rPr>
        <w:t xml:space="preserve"> aggregation</w:t>
      </w:r>
      <w:r>
        <w:rPr>
          <w:rFonts w:eastAsiaTheme="minorEastAsia" w:cs="Arial" w:hint="eastAsia"/>
          <w:lang w:eastAsia="zh-CN"/>
        </w:rPr>
        <w:t xml:space="preserve"> were discussed and t</w:t>
      </w:r>
      <w:r>
        <w:rPr>
          <w:rFonts w:cs="Arial" w:hint="eastAsia"/>
          <w:lang w:eastAsia="zh-CN"/>
        </w:rPr>
        <w:t>he following proposal</w:t>
      </w:r>
      <w:r>
        <w:rPr>
          <w:rFonts w:cs="Arial" w:hint="eastAsia"/>
          <w:lang w:val="en-US" w:eastAsia="zh-CN"/>
        </w:rPr>
        <w:t>s</w:t>
      </w:r>
      <w:r>
        <w:rPr>
          <w:rFonts w:cs="Arial" w:hint="eastAsia"/>
          <w:lang w:eastAsia="zh-CN"/>
        </w:rPr>
        <w:t xml:space="preserve"> </w:t>
      </w:r>
      <w:r>
        <w:rPr>
          <w:rFonts w:cs="Arial" w:hint="eastAsia"/>
          <w:lang w:val="en-US" w:eastAsia="zh-CN"/>
        </w:rPr>
        <w:t xml:space="preserve">and observations </w:t>
      </w:r>
      <w:r>
        <w:rPr>
          <w:rFonts w:cs="Arial" w:hint="eastAsia"/>
          <w:lang w:eastAsia="zh-CN"/>
        </w:rPr>
        <w:t>are given:</w:t>
      </w:r>
    </w:p>
    <w:p w:rsidR="00DD21DD" w:rsidRDefault="005331B5">
      <w:pPr>
        <w:spacing w:before="156"/>
        <w:rPr>
          <w:rFonts w:eastAsiaTheme="minorEastAsia"/>
          <w:b/>
          <w:bCs/>
          <w:lang w:val="en-US" w:eastAsia="zh-CN"/>
        </w:rPr>
      </w:pPr>
      <w:r>
        <w:rPr>
          <w:rFonts w:eastAsiaTheme="minorEastAsia" w:hint="eastAsia"/>
          <w:b/>
          <w:bCs/>
          <w:lang w:val="en-US" w:eastAsia="zh-CN"/>
        </w:rPr>
        <w:t xml:space="preserve">Observation 1: To support co-existence with Rel-14 UEs, </w:t>
      </w:r>
      <w:r>
        <w:rPr>
          <w:rFonts w:hint="eastAsia"/>
          <w:b/>
          <w:bCs/>
          <w:lang w:val="en-US" w:eastAsia="zh-CN"/>
        </w:rPr>
        <w:t xml:space="preserve">the same </w:t>
      </w:r>
      <w:r>
        <w:rPr>
          <w:rFonts w:eastAsiaTheme="minorEastAsia"/>
          <w:b/>
          <w:bCs/>
          <w:lang w:val="en-US" w:eastAsia="zh-CN"/>
        </w:rPr>
        <w:t xml:space="preserve">synchronization </w:t>
      </w:r>
      <w:r>
        <w:rPr>
          <w:rFonts w:eastAsiaTheme="minorEastAsia" w:hint="eastAsia"/>
          <w:b/>
          <w:bCs/>
          <w:lang w:val="en-US" w:eastAsia="zh-CN"/>
        </w:rPr>
        <w:t>source should be used for Rel-15 UEs and Rel-14 UEs on the same carrier.</w:t>
      </w:r>
    </w:p>
    <w:p w:rsidR="00DD21DD" w:rsidRDefault="005331B5">
      <w:pPr>
        <w:spacing w:before="156"/>
        <w:rPr>
          <w:lang w:val="en-US" w:eastAsia="zh-CN"/>
        </w:rPr>
      </w:pPr>
      <w:r>
        <w:rPr>
          <w:rFonts w:eastAsiaTheme="minorEastAsia" w:hint="eastAsia"/>
          <w:b/>
          <w:bCs/>
          <w:lang w:val="en-US" w:eastAsia="zh-CN"/>
        </w:rPr>
        <w:t xml:space="preserve">Observation </w:t>
      </w:r>
      <w:r>
        <w:rPr>
          <w:rFonts w:eastAsiaTheme="minorEastAsia"/>
          <w:b/>
          <w:bCs/>
          <w:lang w:val="en-US" w:eastAsia="zh-CN"/>
        </w:rPr>
        <w:t>2</w:t>
      </w:r>
      <w:r>
        <w:rPr>
          <w:rFonts w:eastAsiaTheme="minorEastAsia" w:hint="eastAsia"/>
          <w:b/>
          <w:bCs/>
          <w:lang w:val="en-US" w:eastAsia="zh-CN"/>
        </w:rPr>
        <w:t>: It may be a high probability deployment scenario that different synchronization reference may be used in different bands.</w:t>
      </w:r>
    </w:p>
    <w:p w:rsidR="00DD21DD" w:rsidRDefault="005331B5">
      <w:pPr>
        <w:spacing w:before="156"/>
        <w:rPr>
          <w:rFonts w:cs="Arial"/>
          <w:lang w:eastAsia="zh-CN"/>
        </w:rPr>
      </w:pPr>
      <w:r>
        <w:rPr>
          <w:rFonts w:eastAsiaTheme="minorEastAsia" w:hint="eastAsia"/>
          <w:b/>
          <w:bCs/>
          <w:lang w:val="en-US" w:eastAsia="zh-CN"/>
        </w:rPr>
        <w:t xml:space="preserve">Observation </w:t>
      </w:r>
      <w:r>
        <w:rPr>
          <w:rFonts w:eastAsiaTheme="minorEastAsia"/>
          <w:b/>
          <w:bCs/>
          <w:lang w:val="en-US" w:eastAsia="zh-CN"/>
        </w:rPr>
        <w:t>3</w:t>
      </w:r>
      <w:r>
        <w:rPr>
          <w:rFonts w:eastAsiaTheme="minorEastAsia" w:hint="eastAsia"/>
          <w:b/>
          <w:bCs/>
          <w:lang w:val="en-US" w:eastAsia="zh-CN"/>
        </w:rPr>
        <w:t xml:space="preserve">: </w:t>
      </w:r>
      <w:r>
        <w:rPr>
          <w:rFonts w:eastAsiaTheme="minorEastAsia"/>
          <w:b/>
          <w:bCs/>
          <w:lang w:val="en-US" w:eastAsia="zh-CN"/>
        </w:rPr>
        <w:t xml:space="preserve">For multiple bands case, it should be FFS for scenario 2 in order to not reduce the deployment flexibility of </w:t>
      </w:r>
      <w:proofErr w:type="spellStart"/>
      <w:r>
        <w:rPr>
          <w:rFonts w:eastAsiaTheme="minorEastAsia"/>
          <w:b/>
          <w:bCs/>
          <w:lang w:val="en-US" w:eastAsia="zh-CN"/>
        </w:rPr>
        <w:t>sidelink</w:t>
      </w:r>
      <w:proofErr w:type="spellEnd"/>
      <w:r>
        <w:rPr>
          <w:rFonts w:eastAsiaTheme="minorEastAsia"/>
          <w:b/>
          <w:bCs/>
          <w:lang w:val="en-US" w:eastAsia="zh-CN"/>
        </w:rPr>
        <w:t xml:space="preserve"> CA.</w:t>
      </w:r>
    </w:p>
    <w:p w:rsidR="00DD21DD" w:rsidRDefault="005331B5">
      <w:pPr>
        <w:spacing w:before="156"/>
        <w:rPr>
          <w:rFonts w:eastAsiaTheme="minorEastAsia"/>
          <w:b/>
          <w:bCs/>
          <w:lang w:val="en-US" w:eastAsia="zh-CN"/>
        </w:rPr>
      </w:pPr>
      <w:r>
        <w:rPr>
          <w:rFonts w:hint="eastAsia"/>
          <w:b/>
          <w:bCs/>
          <w:lang w:val="en-US" w:eastAsia="zh-CN"/>
        </w:rPr>
        <w:t>Propose 1: Per carrier synchronization configuration is reused in Rel-15 and Rel-15 UEs should select</w:t>
      </w:r>
      <w:r>
        <w:rPr>
          <w:rFonts w:eastAsiaTheme="minorEastAsia" w:hint="eastAsia"/>
          <w:b/>
          <w:bCs/>
          <w:lang w:val="en-US" w:eastAsia="zh-CN"/>
        </w:rPr>
        <w:t xml:space="preserve"> synchronization source on each carrier with the same selection rules as Rel-14 UEs.</w:t>
      </w:r>
    </w:p>
    <w:p w:rsidR="00DD21DD" w:rsidRDefault="005331B5">
      <w:pPr>
        <w:spacing w:before="156"/>
        <w:rPr>
          <w:b/>
          <w:lang w:val="en-US" w:eastAsia="zh-CN"/>
        </w:rPr>
      </w:pPr>
      <w:r>
        <w:rPr>
          <w:b/>
          <w:lang w:val="en-US" w:eastAsia="zh-CN"/>
        </w:rPr>
        <w:t>Proposal 2:</w:t>
      </w:r>
    </w:p>
    <w:p w:rsidR="00DD21DD" w:rsidRDefault="005331B5">
      <w:pPr>
        <w:pStyle w:val="ListParagraph4"/>
        <w:numPr>
          <w:ilvl w:val="0"/>
          <w:numId w:val="12"/>
        </w:numPr>
        <w:snapToGrid w:val="0"/>
        <w:spacing w:beforeLines="0" w:before="156" w:after="100" w:line="240" w:lineRule="auto"/>
        <w:jc w:val="both"/>
        <w:rPr>
          <w:rFonts w:eastAsiaTheme="minorEastAsia" w:cs="Arial"/>
          <w:b/>
          <w:iCs/>
          <w:lang w:val="en-US" w:eastAsia="ja-JP"/>
        </w:rPr>
      </w:pPr>
      <w:r>
        <w:rPr>
          <w:rFonts w:eastAsiaTheme="minorEastAsia" w:cs="Arial" w:hint="eastAsia"/>
          <w:b/>
          <w:iCs/>
          <w:lang w:val="en-US" w:eastAsia="ja-JP"/>
        </w:rPr>
        <w:t>From the transmitting UE perspective, a single synchronization reference is used for all aggregated carriers</w:t>
      </w:r>
      <w:r>
        <w:rPr>
          <w:rFonts w:eastAsiaTheme="minorEastAsia" w:cs="Arial"/>
          <w:b/>
          <w:iCs/>
          <w:lang w:val="en-US" w:eastAsia="ja-JP"/>
        </w:rPr>
        <w:t xml:space="preserve"> depending on the synchronization rules defined for Rel-14 UEs.</w:t>
      </w:r>
    </w:p>
    <w:p w:rsidR="00DD21DD" w:rsidRDefault="005331B5">
      <w:pPr>
        <w:pStyle w:val="ListParagraph4"/>
        <w:numPr>
          <w:ilvl w:val="0"/>
          <w:numId w:val="13"/>
        </w:numPr>
        <w:snapToGrid w:val="0"/>
        <w:spacing w:beforeLines="0" w:before="156" w:after="100" w:line="240" w:lineRule="auto"/>
        <w:jc w:val="both"/>
        <w:rPr>
          <w:rFonts w:eastAsiaTheme="minorEastAsia" w:cs="Arial"/>
          <w:b/>
          <w:iCs/>
          <w:lang w:val="en-US" w:eastAsia="ja-JP"/>
        </w:rPr>
      </w:pPr>
      <w:r>
        <w:rPr>
          <w:rFonts w:eastAsiaTheme="minorEastAsia" w:cs="Arial" w:hint="eastAsia"/>
          <w:b/>
          <w:iCs/>
          <w:lang w:val="en-US" w:eastAsia="ja-JP"/>
        </w:rPr>
        <w:lastRenderedPageBreak/>
        <w:t>When a UE transmits multiple MAC PDUs on multiple carriers, timing on all transmission carriers is aligned</w:t>
      </w:r>
    </w:p>
    <w:p w:rsidR="00DD21DD" w:rsidRDefault="005331B5">
      <w:pPr>
        <w:spacing w:before="156"/>
        <w:rPr>
          <w:b/>
          <w:bCs/>
          <w:lang w:val="en-US" w:eastAsia="zh-CN"/>
        </w:rPr>
      </w:pPr>
      <w:r>
        <w:rPr>
          <w:b/>
          <w:bCs/>
          <w:lang w:val="en-US" w:eastAsia="zh-CN"/>
        </w:rPr>
        <w:t xml:space="preserve">Proposal 3: FFS whether different synchronization references on different bands is supported, in order to not reduce the deployment flexibility of </w:t>
      </w:r>
      <w:proofErr w:type="spellStart"/>
      <w:r>
        <w:rPr>
          <w:b/>
          <w:bCs/>
          <w:lang w:val="en-US" w:eastAsia="zh-CN"/>
        </w:rPr>
        <w:t>sidelink</w:t>
      </w:r>
      <w:proofErr w:type="spellEnd"/>
      <w:r>
        <w:rPr>
          <w:b/>
          <w:bCs/>
          <w:lang w:val="en-US" w:eastAsia="zh-CN"/>
        </w:rPr>
        <w:t xml:space="preserve"> CA.</w:t>
      </w:r>
    </w:p>
    <w:p w:rsidR="00DD21DD" w:rsidRDefault="005331B5">
      <w:pPr>
        <w:spacing w:before="156"/>
        <w:rPr>
          <w:b/>
          <w:lang w:val="en-US" w:eastAsia="zh-CN"/>
        </w:rPr>
      </w:pPr>
      <w:r>
        <w:rPr>
          <w:rFonts w:hint="eastAsia"/>
          <w:b/>
          <w:lang w:eastAsia="zh-CN"/>
        </w:rPr>
        <w:t xml:space="preserve">Proposal </w:t>
      </w:r>
      <w:r>
        <w:rPr>
          <w:b/>
          <w:lang w:val="en-US" w:eastAsia="zh-CN"/>
        </w:rPr>
        <w:t>4</w:t>
      </w:r>
      <w:r>
        <w:rPr>
          <w:rFonts w:hint="eastAsia"/>
          <w:b/>
          <w:lang w:val="en-US" w:eastAsia="zh-CN"/>
        </w:rPr>
        <w:t>: F</w:t>
      </w:r>
      <w:r>
        <w:rPr>
          <w:rFonts w:hint="eastAsia"/>
          <w:b/>
          <w:lang w:val="en-US" w:eastAsia="ja-JP"/>
        </w:rPr>
        <w:t xml:space="preserve">rom the </w:t>
      </w:r>
      <w:r>
        <w:rPr>
          <w:rFonts w:hint="eastAsia"/>
          <w:b/>
          <w:lang w:val="en-US" w:eastAsia="zh-CN"/>
        </w:rPr>
        <w:t>transmitter</w:t>
      </w:r>
      <w:r>
        <w:rPr>
          <w:rFonts w:hint="eastAsia"/>
          <w:b/>
          <w:lang w:val="en-US" w:eastAsia="ja-JP"/>
        </w:rPr>
        <w:t xml:space="preserve"> perspective</w:t>
      </w:r>
      <w:r>
        <w:rPr>
          <w:rFonts w:hint="eastAsia"/>
          <w:b/>
          <w:lang w:val="en-US" w:eastAsia="zh-CN"/>
        </w:rPr>
        <w:t xml:space="preserve">, UE should use the mechanism defined in Rel-14 to determine whether </w:t>
      </w:r>
      <w:r>
        <w:rPr>
          <w:b/>
          <w:lang w:val="en-US" w:eastAsia="zh-CN"/>
        </w:rPr>
        <w:t>the</w:t>
      </w:r>
      <w:r>
        <w:rPr>
          <w:rFonts w:hint="eastAsia"/>
          <w:b/>
          <w:lang w:val="en-US" w:eastAsia="zh-CN"/>
        </w:rPr>
        <w:t xml:space="preserve"> SLSS should be transmitted on one aggregated carrier or not. </w:t>
      </w:r>
    </w:p>
    <w:p w:rsidR="00DD21DD" w:rsidRDefault="005331B5">
      <w:pPr>
        <w:spacing w:before="156"/>
        <w:rPr>
          <w:rFonts w:cs="Arial"/>
          <w:lang w:eastAsia="zh-CN"/>
        </w:rPr>
      </w:pPr>
      <w:r>
        <w:rPr>
          <w:b/>
          <w:lang w:val="en-US" w:eastAsia="zh-CN"/>
        </w:rPr>
        <w:t xml:space="preserve">Proposal 5: </w:t>
      </w:r>
      <w:r>
        <w:rPr>
          <w:rFonts w:hint="eastAsia"/>
          <w:b/>
          <w:lang w:val="en-US" w:eastAsia="zh-CN"/>
        </w:rPr>
        <w:t xml:space="preserve">From the receiver perspective, </w:t>
      </w:r>
      <w:r>
        <w:rPr>
          <w:b/>
          <w:lang w:val="en-US" w:eastAsia="zh-CN"/>
        </w:rPr>
        <w:t xml:space="preserve">the </w:t>
      </w:r>
      <w:r>
        <w:rPr>
          <w:rFonts w:hint="eastAsia"/>
          <w:b/>
          <w:lang w:val="en-US" w:eastAsia="zh-CN"/>
        </w:rPr>
        <w:t>UE may just receive the SLSS on one of the aggregated carriers or receive the synchronization signals on all the aggregated carriers, which is depend</w:t>
      </w:r>
      <w:r>
        <w:rPr>
          <w:b/>
          <w:lang w:val="en-US" w:eastAsia="zh-CN"/>
        </w:rPr>
        <w:t>ent</w:t>
      </w:r>
      <w:r>
        <w:rPr>
          <w:rFonts w:hint="eastAsia"/>
          <w:b/>
          <w:lang w:val="en-US" w:eastAsia="zh-CN"/>
        </w:rPr>
        <w:t xml:space="preserve"> on UE</w:t>
      </w:r>
      <w:r>
        <w:rPr>
          <w:b/>
          <w:lang w:val="en-US" w:eastAsia="zh-CN"/>
        </w:rPr>
        <w:t>’</w:t>
      </w:r>
      <w:r>
        <w:rPr>
          <w:rFonts w:hint="eastAsia"/>
          <w:b/>
          <w:lang w:val="en-US" w:eastAsia="zh-CN"/>
        </w:rPr>
        <w:t>s implementation.</w:t>
      </w:r>
    </w:p>
    <w:p w:rsidR="00DD21DD" w:rsidRDefault="005331B5">
      <w:pPr>
        <w:pStyle w:val="Heading1"/>
        <w:spacing w:before="156"/>
        <w:ind w:left="0"/>
        <w:rPr>
          <w:rFonts w:eastAsia="SimSun"/>
          <w:lang w:eastAsia="zh-CN"/>
        </w:rPr>
      </w:pPr>
      <w:r>
        <w:rPr>
          <w:rFonts w:eastAsia="SimSun" w:hint="eastAsia"/>
          <w:lang w:eastAsia="zh-CN"/>
        </w:rPr>
        <w:t>Reference</w:t>
      </w:r>
      <w:r>
        <w:rPr>
          <w:rFonts w:eastAsia="SimSun"/>
          <w:lang w:eastAsia="zh-CN"/>
        </w:rPr>
        <w:t>s</w:t>
      </w:r>
    </w:p>
    <w:bookmarkEnd w:id="0"/>
    <w:bookmarkEnd w:id="2"/>
    <w:bookmarkEnd w:id="3"/>
    <w:p w:rsidR="00DD21DD" w:rsidRDefault="005331B5">
      <w:pPr>
        <w:numPr>
          <w:ilvl w:val="0"/>
          <w:numId w:val="14"/>
        </w:numPr>
        <w:tabs>
          <w:tab w:val="left" w:pos="450"/>
        </w:tabs>
        <w:spacing w:beforeLines="0" w:before="156" w:after="0" w:line="240" w:lineRule="auto"/>
        <w:jc w:val="both"/>
      </w:pPr>
      <w:r>
        <w:rPr>
          <w:lang w:eastAsia="zh-CN"/>
        </w:rPr>
        <w:t>3GPP TR 22.886 V2.0.0</w:t>
      </w:r>
      <w:r>
        <w:rPr>
          <w:rFonts w:hint="eastAsia"/>
          <w:lang w:eastAsia="zh-CN"/>
        </w:rPr>
        <w:t xml:space="preserve">, </w:t>
      </w:r>
      <w:r>
        <w:rPr>
          <w:lang w:eastAsia="zh-CN"/>
        </w:rPr>
        <w:t>Study on enhanc</w:t>
      </w:r>
      <w:r>
        <w:rPr>
          <w:rFonts w:hint="eastAsia"/>
          <w:lang w:eastAsia="zh-CN"/>
        </w:rPr>
        <w:t>ement</w:t>
      </w:r>
      <w:r>
        <w:rPr>
          <w:lang w:eastAsia="zh-CN"/>
        </w:rPr>
        <w:t xml:space="preserve"> of 3GPP </w:t>
      </w:r>
      <w:r>
        <w:rPr>
          <w:rFonts w:hint="eastAsia"/>
          <w:lang w:eastAsia="zh-CN"/>
        </w:rPr>
        <w:t>S</w:t>
      </w:r>
      <w:r>
        <w:rPr>
          <w:lang w:eastAsia="zh-CN"/>
        </w:rPr>
        <w:t xml:space="preserve">upport for 5G V2X </w:t>
      </w:r>
      <w:r>
        <w:rPr>
          <w:rFonts w:hint="eastAsia"/>
          <w:lang w:eastAsia="zh-CN"/>
        </w:rPr>
        <w:t>S</w:t>
      </w:r>
      <w:r>
        <w:rPr>
          <w:lang w:eastAsia="zh-CN"/>
        </w:rPr>
        <w:t>ervices</w:t>
      </w:r>
      <w:r>
        <w:rPr>
          <w:rFonts w:hint="eastAsia"/>
          <w:lang w:eastAsia="zh-CN"/>
        </w:rPr>
        <w:t>,</w:t>
      </w:r>
      <w:r>
        <w:rPr>
          <w:lang w:eastAsia="zh-CN"/>
        </w:rPr>
        <w:t xml:space="preserve"> 2016-12</w:t>
      </w:r>
    </w:p>
    <w:p w:rsidR="00DD21DD" w:rsidRDefault="005331B5">
      <w:pPr>
        <w:numPr>
          <w:ilvl w:val="0"/>
          <w:numId w:val="14"/>
        </w:numPr>
        <w:tabs>
          <w:tab w:val="left" w:pos="450"/>
        </w:tabs>
        <w:spacing w:beforeLines="0" w:before="156" w:after="0" w:line="240" w:lineRule="auto"/>
        <w:jc w:val="both"/>
      </w:pPr>
      <w:r>
        <w:t>Chairman’s Notes</w:t>
      </w:r>
      <w:r>
        <w:rPr>
          <w:rFonts w:hint="eastAsia"/>
        </w:rPr>
        <w:t xml:space="preserve"> R</w:t>
      </w:r>
      <w:r>
        <w:t>AN1_</w:t>
      </w:r>
      <w:r>
        <w:rPr>
          <w:rFonts w:hint="eastAsia"/>
          <w:lang w:val="en-US" w:eastAsia="zh-CN"/>
        </w:rPr>
        <w:t>90bis</w:t>
      </w:r>
      <w:r>
        <w:t>_final</w:t>
      </w:r>
    </w:p>
    <w:p w:rsidR="00DD21DD" w:rsidRDefault="00DD21DD">
      <w:pPr>
        <w:spacing w:before="156"/>
        <w:jc w:val="both"/>
        <w:rPr>
          <w:lang w:eastAsia="zh-CN"/>
        </w:rPr>
      </w:pPr>
    </w:p>
    <w:sectPr w:rsidR="00DD21D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60266" w:rsidRDefault="00860266">
      <w:pPr>
        <w:spacing w:before="120" w:after="0" w:line="240" w:lineRule="auto"/>
      </w:pPr>
      <w:r>
        <w:separator/>
      </w:r>
    </w:p>
  </w:endnote>
  <w:endnote w:type="continuationSeparator" w:id="0">
    <w:p w:rsidR="00860266" w:rsidRDefault="00860266">
      <w:pPr>
        <w:spacing w:before="12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Latha"/>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0"/>
    <w:family w:val="swiss"/>
    <w:pitch w:val="default"/>
    <w:sig w:usb0="00000000" w:usb1="00000000"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variable"/>
    <w:sig w:usb0="E00002FF" w:usb1="400004FF" w:usb2="00000000" w:usb3="00000000" w:csb0="0000019F" w:csb1="00000000"/>
  </w:font>
  <w:font w:name="MS LineDraw">
    <w:altName w:val="Latha"/>
    <w:charset w:val="02"/>
    <w:family w:val="modern"/>
    <w:pitch w:val="default"/>
  </w:font>
  <w:font w:name="Helvetica">
    <w:panose1 w:val="020B0604020202020204"/>
    <w:charset w:val="00"/>
    <w:family w:val="swiss"/>
    <w:pitch w:val="default"/>
    <w:sig w:usb0="00000000" w:usb1="00000000" w:usb2="00000000" w:usb3="00000000" w:csb0="00000001" w:csb1="00000000"/>
  </w:font>
  <w:font w:name="KaiTi_GB2312">
    <w:altName w:val="Segoe Print"/>
    <w:panose1 w:val="02010609060101010101"/>
    <w:charset w:val="86"/>
    <w:family w:val="modern"/>
    <w:pitch w:val="default"/>
    <w:sig w:usb0="00000000" w:usb1="00000000" w:usb2="00000000" w:usb3="00000000" w:csb0="0004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1DD" w:rsidRDefault="00DD21DD">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1DD" w:rsidRDefault="00DD21DD">
    <w:pPr>
      <w:pStyle w:val="Footer"/>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1DD" w:rsidRDefault="00DD21DD">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60266" w:rsidRDefault="00860266">
      <w:pPr>
        <w:spacing w:before="120" w:after="0" w:line="240" w:lineRule="auto"/>
      </w:pPr>
      <w:r>
        <w:separator/>
      </w:r>
    </w:p>
  </w:footnote>
  <w:footnote w:type="continuationSeparator" w:id="0">
    <w:p w:rsidR="00860266" w:rsidRDefault="00860266">
      <w:pPr>
        <w:spacing w:before="12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1DD" w:rsidRDefault="00DD21DD">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1DD" w:rsidRDefault="00DD21DD">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21DD" w:rsidRDefault="00DD21DD">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0E0F18C5"/>
    <w:multiLevelType w:val="hybridMultilevel"/>
    <w:tmpl w:val="E346904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23385AA7"/>
    <w:multiLevelType w:val="multilevel"/>
    <w:tmpl w:val="23385AA7"/>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2AF95D90"/>
    <w:multiLevelType w:val="multilevel"/>
    <w:tmpl w:val="2AF95D90"/>
    <w:lvl w:ilvl="0">
      <w:start w:val="1"/>
      <w:numFmt w:val="decimal"/>
      <w:lvlText w:val="[%1]"/>
      <w:lvlJc w:val="left"/>
      <w:pPr>
        <w:tabs>
          <w:tab w:val="left" w:pos="420"/>
        </w:tabs>
        <w:ind w:left="420" w:hanging="420"/>
      </w:pPr>
      <w:rPr>
        <w:rFonts w:hint="eastAsia"/>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589C2AB5"/>
    <w:multiLevelType w:val="multilevel"/>
    <w:tmpl w:val="589C2AB5"/>
    <w:lvl w:ilvl="0">
      <w:start w:val="1"/>
      <w:numFmt w:val="bullet"/>
      <w:lvlText w:val=""/>
      <w:lvlJc w:val="left"/>
      <w:pPr>
        <w:ind w:left="644" w:hanging="360"/>
      </w:pPr>
      <w:rPr>
        <w:rFonts w:ascii="Wingdings" w:hAnsi="Wingding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59812E65"/>
    <w:multiLevelType w:val="multilevel"/>
    <w:tmpl w:val="59812E65"/>
    <w:lvl w:ilvl="0">
      <w:start w:val="1"/>
      <w:numFmt w:val="decimal"/>
      <w:lvlText w:val="%1."/>
      <w:lvlJc w:val="left"/>
      <w:pPr>
        <w:ind w:left="420" w:hanging="420"/>
      </w:pPr>
      <w:rPr>
        <w:rFont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15:restartNumberingAfterBreak="0">
    <w:nsid w:val="59812E92"/>
    <w:multiLevelType w:val="multilevel"/>
    <w:tmpl w:val="59812E92"/>
    <w:lvl w:ilvl="0">
      <w:start w:val="1"/>
      <w:numFmt w:val="bullet"/>
      <w:lvlText w:val=""/>
      <w:lvlJc w:val="left"/>
      <w:pPr>
        <w:ind w:left="420" w:hanging="420"/>
      </w:pPr>
      <w:rPr>
        <w:rFonts w:ascii="Symbol" w:hAnsi="Symbol"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 w15:restartNumberingAfterBreak="0">
    <w:nsid w:val="59812EC8"/>
    <w:multiLevelType w:val="singleLevel"/>
    <w:tmpl w:val="59812EC8"/>
    <w:lvl w:ilvl="0">
      <w:start w:val="1"/>
      <w:numFmt w:val="bullet"/>
      <w:lvlText w:val="•"/>
      <w:lvlJc w:val="left"/>
      <w:pPr>
        <w:ind w:left="420" w:hanging="420"/>
      </w:pPr>
      <w:rPr>
        <w:rFonts w:ascii="Arial" w:hAnsi="Arial" w:cs="Arial" w:hint="default"/>
      </w:rPr>
    </w:lvl>
  </w:abstractNum>
  <w:abstractNum w:abstractNumId="13"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3"/>
  </w:num>
  <w:num w:numId="3">
    <w:abstractNumId w:val="13"/>
  </w:num>
  <w:num w:numId="4">
    <w:abstractNumId w:val="6"/>
  </w:num>
  <w:num w:numId="5">
    <w:abstractNumId w:val="7"/>
  </w:num>
  <w:num w:numId="6">
    <w:abstractNumId w:val="1"/>
  </w:num>
  <w:num w:numId="7">
    <w:abstractNumId w:val="14"/>
  </w:num>
  <w:num w:numId="8">
    <w:abstractNumId w:val="8"/>
  </w:num>
  <w:num w:numId="9">
    <w:abstractNumId w:val="10"/>
  </w:num>
  <w:num w:numId="10">
    <w:abstractNumId w:val="11"/>
  </w:num>
  <w:num w:numId="11">
    <w:abstractNumId w:val="12"/>
  </w:num>
  <w:num w:numId="12">
    <w:abstractNumId w:val="9"/>
  </w:num>
  <w:num w:numId="13">
    <w:abstractNumId w:val="4"/>
  </w:num>
  <w:num w:numId="14">
    <w:abstractNumId w:val="5"/>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284"/>
  <w:hyphenationZone w:val="283"/>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218D4F87-D867-49AE-BFE6-AF4AEE25457D}"/>
    <w:docVar w:name="dgnword-eventsink" w:val="855966424"/>
  </w:docVars>
  <w:rsids>
    <w:rsidRoot w:val="00022E4A"/>
    <w:rsid w:val="000003E8"/>
    <w:rsid w:val="00000477"/>
    <w:rsid w:val="00000537"/>
    <w:rsid w:val="00000823"/>
    <w:rsid w:val="00000C64"/>
    <w:rsid w:val="00000CD9"/>
    <w:rsid w:val="00000CF8"/>
    <w:rsid w:val="00000E8A"/>
    <w:rsid w:val="00001753"/>
    <w:rsid w:val="00001940"/>
    <w:rsid w:val="00001F7C"/>
    <w:rsid w:val="00002102"/>
    <w:rsid w:val="0000219B"/>
    <w:rsid w:val="00002862"/>
    <w:rsid w:val="00002C5F"/>
    <w:rsid w:val="00002CB0"/>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E4A"/>
    <w:rsid w:val="00022F98"/>
    <w:rsid w:val="000238E2"/>
    <w:rsid w:val="00023930"/>
    <w:rsid w:val="00023D85"/>
    <w:rsid w:val="00023E16"/>
    <w:rsid w:val="00023E5C"/>
    <w:rsid w:val="00023EBE"/>
    <w:rsid w:val="00023F2A"/>
    <w:rsid w:val="00024172"/>
    <w:rsid w:val="0002434E"/>
    <w:rsid w:val="000243E5"/>
    <w:rsid w:val="00024668"/>
    <w:rsid w:val="000251AA"/>
    <w:rsid w:val="0002537A"/>
    <w:rsid w:val="00025434"/>
    <w:rsid w:val="00025BAB"/>
    <w:rsid w:val="00025EEA"/>
    <w:rsid w:val="00026436"/>
    <w:rsid w:val="0002747B"/>
    <w:rsid w:val="00027483"/>
    <w:rsid w:val="000279E0"/>
    <w:rsid w:val="00027C35"/>
    <w:rsid w:val="000309CA"/>
    <w:rsid w:val="00031567"/>
    <w:rsid w:val="000317DB"/>
    <w:rsid w:val="00032312"/>
    <w:rsid w:val="00032AB8"/>
    <w:rsid w:val="00033875"/>
    <w:rsid w:val="00033DD9"/>
    <w:rsid w:val="0003419C"/>
    <w:rsid w:val="000346B7"/>
    <w:rsid w:val="00034B45"/>
    <w:rsid w:val="0003523D"/>
    <w:rsid w:val="000357E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BC5"/>
    <w:rsid w:val="00043C93"/>
    <w:rsid w:val="00043CEB"/>
    <w:rsid w:val="000442D9"/>
    <w:rsid w:val="00044562"/>
    <w:rsid w:val="000445DE"/>
    <w:rsid w:val="000449E0"/>
    <w:rsid w:val="000451CC"/>
    <w:rsid w:val="0004535B"/>
    <w:rsid w:val="00045BFC"/>
    <w:rsid w:val="000460B7"/>
    <w:rsid w:val="000463B7"/>
    <w:rsid w:val="000463C6"/>
    <w:rsid w:val="0004659C"/>
    <w:rsid w:val="000468A5"/>
    <w:rsid w:val="00046EED"/>
    <w:rsid w:val="00047305"/>
    <w:rsid w:val="00047A86"/>
    <w:rsid w:val="00047AFD"/>
    <w:rsid w:val="00047D2B"/>
    <w:rsid w:val="0005019A"/>
    <w:rsid w:val="000502EF"/>
    <w:rsid w:val="0005052D"/>
    <w:rsid w:val="0005055D"/>
    <w:rsid w:val="000508B0"/>
    <w:rsid w:val="00050C20"/>
    <w:rsid w:val="00052018"/>
    <w:rsid w:val="000520DD"/>
    <w:rsid w:val="00052177"/>
    <w:rsid w:val="00052612"/>
    <w:rsid w:val="0005287F"/>
    <w:rsid w:val="00053120"/>
    <w:rsid w:val="00053263"/>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822"/>
    <w:rsid w:val="00072EDF"/>
    <w:rsid w:val="00072F56"/>
    <w:rsid w:val="000730C7"/>
    <w:rsid w:val="00073790"/>
    <w:rsid w:val="000737BB"/>
    <w:rsid w:val="00073C97"/>
    <w:rsid w:val="00074C32"/>
    <w:rsid w:val="00075247"/>
    <w:rsid w:val="00075670"/>
    <w:rsid w:val="00075B6B"/>
    <w:rsid w:val="00075BBB"/>
    <w:rsid w:val="0007676F"/>
    <w:rsid w:val="00076E9F"/>
    <w:rsid w:val="00076FA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853"/>
    <w:rsid w:val="00090F26"/>
    <w:rsid w:val="000914AF"/>
    <w:rsid w:val="000916A9"/>
    <w:rsid w:val="00091874"/>
    <w:rsid w:val="00091BFB"/>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FD1"/>
    <w:rsid w:val="000A00D7"/>
    <w:rsid w:val="000A0855"/>
    <w:rsid w:val="000A10EB"/>
    <w:rsid w:val="000A1499"/>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5E6"/>
    <w:rsid w:val="000C1B25"/>
    <w:rsid w:val="000C29C8"/>
    <w:rsid w:val="000C322E"/>
    <w:rsid w:val="000C36E6"/>
    <w:rsid w:val="000C3A4C"/>
    <w:rsid w:val="000C42DD"/>
    <w:rsid w:val="000C4675"/>
    <w:rsid w:val="000C4E93"/>
    <w:rsid w:val="000C5A04"/>
    <w:rsid w:val="000C5C7A"/>
    <w:rsid w:val="000C66AA"/>
    <w:rsid w:val="000C67BD"/>
    <w:rsid w:val="000C684A"/>
    <w:rsid w:val="000C6CBB"/>
    <w:rsid w:val="000C6D76"/>
    <w:rsid w:val="000C6E31"/>
    <w:rsid w:val="000C70F5"/>
    <w:rsid w:val="000C7168"/>
    <w:rsid w:val="000C7C33"/>
    <w:rsid w:val="000C7ECB"/>
    <w:rsid w:val="000D0344"/>
    <w:rsid w:val="000D0B5A"/>
    <w:rsid w:val="000D0EB2"/>
    <w:rsid w:val="000D1909"/>
    <w:rsid w:val="000D1FAA"/>
    <w:rsid w:val="000D2FA4"/>
    <w:rsid w:val="000D3B23"/>
    <w:rsid w:val="000D41B5"/>
    <w:rsid w:val="000D4209"/>
    <w:rsid w:val="000D468C"/>
    <w:rsid w:val="000D4A1B"/>
    <w:rsid w:val="000D4F73"/>
    <w:rsid w:val="000D57EF"/>
    <w:rsid w:val="000D62FB"/>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E99"/>
    <w:rsid w:val="000E5FF1"/>
    <w:rsid w:val="000E6E9E"/>
    <w:rsid w:val="000E7C81"/>
    <w:rsid w:val="000E7DC8"/>
    <w:rsid w:val="000F00F6"/>
    <w:rsid w:val="000F025B"/>
    <w:rsid w:val="000F0452"/>
    <w:rsid w:val="000F0CD0"/>
    <w:rsid w:val="000F109A"/>
    <w:rsid w:val="000F10C5"/>
    <w:rsid w:val="000F1288"/>
    <w:rsid w:val="000F1ABF"/>
    <w:rsid w:val="000F1FC4"/>
    <w:rsid w:val="000F3101"/>
    <w:rsid w:val="000F3E3D"/>
    <w:rsid w:val="000F446E"/>
    <w:rsid w:val="000F4F22"/>
    <w:rsid w:val="000F5047"/>
    <w:rsid w:val="000F591F"/>
    <w:rsid w:val="000F6965"/>
    <w:rsid w:val="000F6CA2"/>
    <w:rsid w:val="000F6CD0"/>
    <w:rsid w:val="000F6E6D"/>
    <w:rsid w:val="000F6FF1"/>
    <w:rsid w:val="000F7A42"/>
    <w:rsid w:val="000F7A9D"/>
    <w:rsid w:val="000F7B91"/>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539B"/>
    <w:rsid w:val="00116348"/>
    <w:rsid w:val="00116509"/>
    <w:rsid w:val="00117413"/>
    <w:rsid w:val="0011745B"/>
    <w:rsid w:val="0011764F"/>
    <w:rsid w:val="00117B42"/>
    <w:rsid w:val="00117BDB"/>
    <w:rsid w:val="00117C99"/>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2F1"/>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0C9E"/>
    <w:rsid w:val="00141195"/>
    <w:rsid w:val="00141333"/>
    <w:rsid w:val="00141DD6"/>
    <w:rsid w:val="00141F42"/>
    <w:rsid w:val="0014221B"/>
    <w:rsid w:val="0014253C"/>
    <w:rsid w:val="001426B7"/>
    <w:rsid w:val="0014276F"/>
    <w:rsid w:val="00142830"/>
    <w:rsid w:val="00142898"/>
    <w:rsid w:val="00142A8B"/>
    <w:rsid w:val="00143103"/>
    <w:rsid w:val="00143BF3"/>
    <w:rsid w:val="001441ED"/>
    <w:rsid w:val="001448B3"/>
    <w:rsid w:val="00144AA6"/>
    <w:rsid w:val="00144BF9"/>
    <w:rsid w:val="00144F4B"/>
    <w:rsid w:val="00145B1F"/>
    <w:rsid w:val="00145DFA"/>
    <w:rsid w:val="0014638D"/>
    <w:rsid w:val="001466B1"/>
    <w:rsid w:val="00146803"/>
    <w:rsid w:val="00146F35"/>
    <w:rsid w:val="001470B0"/>
    <w:rsid w:val="00147202"/>
    <w:rsid w:val="00147FDD"/>
    <w:rsid w:val="0015093A"/>
    <w:rsid w:val="00150C08"/>
    <w:rsid w:val="00150E9B"/>
    <w:rsid w:val="00150EC4"/>
    <w:rsid w:val="00150FD5"/>
    <w:rsid w:val="001511A8"/>
    <w:rsid w:val="001516D3"/>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D0F"/>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7210"/>
    <w:rsid w:val="001679FD"/>
    <w:rsid w:val="00167C49"/>
    <w:rsid w:val="001702A3"/>
    <w:rsid w:val="0017053E"/>
    <w:rsid w:val="0017063D"/>
    <w:rsid w:val="001707B2"/>
    <w:rsid w:val="00170CA7"/>
    <w:rsid w:val="00170FF4"/>
    <w:rsid w:val="0017100B"/>
    <w:rsid w:val="00171F68"/>
    <w:rsid w:val="00172944"/>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D7D"/>
    <w:rsid w:val="00180F84"/>
    <w:rsid w:val="00181069"/>
    <w:rsid w:val="00181466"/>
    <w:rsid w:val="00181BDC"/>
    <w:rsid w:val="0018227C"/>
    <w:rsid w:val="001826E0"/>
    <w:rsid w:val="00182857"/>
    <w:rsid w:val="00182EF6"/>
    <w:rsid w:val="00182F43"/>
    <w:rsid w:val="0018309F"/>
    <w:rsid w:val="00183358"/>
    <w:rsid w:val="0018343B"/>
    <w:rsid w:val="00183668"/>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F37"/>
    <w:rsid w:val="0019227A"/>
    <w:rsid w:val="00193E26"/>
    <w:rsid w:val="00195650"/>
    <w:rsid w:val="001960F9"/>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89"/>
    <w:rsid w:val="001B0428"/>
    <w:rsid w:val="001B048E"/>
    <w:rsid w:val="001B0A78"/>
    <w:rsid w:val="001B18C1"/>
    <w:rsid w:val="001B1D9D"/>
    <w:rsid w:val="001B1E4A"/>
    <w:rsid w:val="001B1FB4"/>
    <w:rsid w:val="001B209F"/>
    <w:rsid w:val="001B2439"/>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183"/>
    <w:rsid w:val="001C3344"/>
    <w:rsid w:val="001C3390"/>
    <w:rsid w:val="001C358E"/>
    <w:rsid w:val="001C39FF"/>
    <w:rsid w:val="001C3B1E"/>
    <w:rsid w:val="001C4A8B"/>
    <w:rsid w:val="001C4DFA"/>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450"/>
    <w:rsid w:val="001E7988"/>
    <w:rsid w:val="001E7D40"/>
    <w:rsid w:val="001F0184"/>
    <w:rsid w:val="001F0201"/>
    <w:rsid w:val="001F09F6"/>
    <w:rsid w:val="001F0CA1"/>
    <w:rsid w:val="001F10CE"/>
    <w:rsid w:val="001F11DF"/>
    <w:rsid w:val="001F1A9B"/>
    <w:rsid w:val="001F1AFB"/>
    <w:rsid w:val="001F21E8"/>
    <w:rsid w:val="001F23A8"/>
    <w:rsid w:val="001F2538"/>
    <w:rsid w:val="001F2CFC"/>
    <w:rsid w:val="001F33B2"/>
    <w:rsid w:val="001F3BDF"/>
    <w:rsid w:val="001F3C8C"/>
    <w:rsid w:val="001F3D1C"/>
    <w:rsid w:val="001F3D44"/>
    <w:rsid w:val="001F45DA"/>
    <w:rsid w:val="001F46A0"/>
    <w:rsid w:val="001F4972"/>
    <w:rsid w:val="001F49D5"/>
    <w:rsid w:val="001F554B"/>
    <w:rsid w:val="001F5B17"/>
    <w:rsid w:val="001F6117"/>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D22"/>
    <w:rsid w:val="002112A0"/>
    <w:rsid w:val="0021160E"/>
    <w:rsid w:val="00211E24"/>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4AE"/>
    <w:rsid w:val="00293AC5"/>
    <w:rsid w:val="00293D64"/>
    <w:rsid w:val="00293D85"/>
    <w:rsid w:val="0029431D"/>
    <w:rsid w:val="002947D9"/>
    <w:rsid w:val="002949CA"/>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36A"/>
    <w:rsid w:val="002A558A"/>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18D"/>
    <w:rsid w:val="002B4586"/>
    <w:rsid w:val="002B49AC"/>
    <w:rsid w:val="002B4A9F"/>
    <w:rsid w:val="002B4FA8"/>
    <w:rsid w:val="002B51D3"/>
    <w:rsid w:val="002B53B9"/>
    <w:rsid w:val="002B565A"/>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82B"/>
    <w:rsid w:val="002D0FD9"/>
    <w:rsid w:val="002D0FFD"/>
    <w:rsid w:val="002D1553"/>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E"/>
    <w:rsid w:val="002D722F"/>
    <w:rsid w:val="002D76E0"/>
    <w:rsid w:val="002D7D18"/>
    <w:rsid w:val="002E016F"/>
    <w:rsid w:val="002E0401"/>
    <w:rsid w:val="002E068A"/>
    <w:rsid w:val="002E0E6D"/>
    <w:rsid w:val="002E14A4"/>
    <w:rsid w:val="002E152E"/>
    <w:rsid w:val="002E1547"/>
    <w:rsid w:val="002E16EB"/>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824"/>
    <w:rsid w:val="002F16B5"/>
    <w:rsid w:val="002F1997"/>
    <w:rsid w:val="002F1E63"/>
    <w:rsid w:val="002F2451"/>
    <w:rsid w:val="002F285A"/>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BD4"/>
    <w:rsid w:val="00305EE5"/>
    <w:rsid w:val="0030661E"/>
    <w:rsid w:val="0030696B"/>
    <w:rsid w:val="0030728B"/>
    <w:rsid w:val="0030789B"/>
    <w:rsid w:val="003079D9"/>
    <w:rsid w:val="00307E46"/>
    <w:rsid w:val="00307F7D"/>
    <w:rsid w:val="003102CB"/>
    <w:rsid w:val="00310615"/>
    <w:rsid w:val="00310628"/>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E7A"/>
    <w:rsid w:val="003252D9"/>
    <w:rsid w:val="00325769"/>
    <w:rsid w:val="00325B85"/>
    <w:rsid w:val="00326166"/>
    <w:rsid w:val="0032682E"/>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5052F"/>
    <w:rsid w:val="003507DA"/>
    <w:rsid w:val="00350D7E"/>
    <w:rsid w:val="00350EBC"/>
    <w:rsid w:val="003510F5"/>
    <w:rsid w:val="00351711"/>
    <w:rsid w:val="00351B7B"/>
    <w:rsid w:val="00351BCD"/>
    <w:rsid w:val="00351BF1"/>
    <w:rsid w:val="00352455"/>
    <w:rsid w:val="0035255E"/>
    <w:rsid w:val="003526A7"/>
    <w:rsid w:val="00352A6B"/>
    <w:rsid w:val="00352C1B"/>
    <w:rsid w:val="0035319E"/>
    <w:rsid w:val="0035378A"/>
    <w:rsid w:val="00353793"/>
    <w:rsid w:val="00353A10"/>
    <w:rsid w:val="00353BDB"/>
    <w:rsid w:val="003547F7"/>
    <w:rsid w:val="00354929"/>
    <w:rsid w:val="00354A04"/>
    <w:rsid w:val="00354C5F"/>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10F5"/>
    <w:rsid w:val="0037119B"/>
    <w:rsid w:val="003714D6"/>
    <w:rsid w:val="003716D6"/>
    <w:rsid w:val="00371EED"/>
    <w:rsid w:val="003725CA"/>
    <w:rsid w:val="00372726"/>
    <w:rsid w:val="00372A7D"/>
    <w:rsid w:val="00372E8E"/>
    <w:rsid w:val="00372EE1"/>
    <w:rsid w:val="00372FCB"/>
    <w:rsid w:val="003736F1"/>
    <w:rsid w:val="00373E10"/>
    <w:rsid w:val="0037427C"/>
    <w:rsid w:val="00374988"/>
    <w:rsid w:val="00375047"/>
    <w:rsid w:val="00375494"/>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C70"/>
    <w:rsid w:val="00390D21"/>
    <w:rsid w:val="00390EDA"/>
    <w:rsid w:val="003918DE"/>
    <w:rsid w:val="00391BE3"/>
    <w:rsid w:val="00391DB5"/>
    <w:rsid w:val="003923AD"/>
    <w:rsid w:val="003931B6"/>
    <w:rsid w:val="0039338A"/>
    <w:rsid w:val="00393AB1"/>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40B"/>
    <w:rsid w:val="003A178C"/>
    <w:rsid w:val="003A1BF1"/>
    <w:rsid w:val="003A1E0B"/>
    <w:rsid w:val="003A1FFC"/>
    <w:rsid w:val="003A21E6"/>
    <w:rsid w:val="003A21ED"/>
    <w:rsid w:val="003A2E9C"/>
    <w:rsid w:val="003A306F"/>
    <w:rsid w:val="003A314C"/>
    <w:rsid w:val="003A33C5"/>
    <w:rsid w:val="003A3618"/>
    <w:rsid w:val="003A3753"/>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490"/>
    <w:rsid w:val="003B11F6"/>
    <w:rsid w:val="003B1303"/>
    <w:rsid w:val="003B146F"/>
    <w:rsid w:val="003B19B8"/>
    <w:rsid w:val="003B1E3F"/>
    <w:rsid w:val="003B1E7D"/>
    <w:rsid w:val="003B2CF0"/>
    <w:rsid w:val="003B3117"/>
    <w:rsid w:val="003B36D2"/>
    <w:rsid w:val="003B432B"/>
    <w:rsid w:val="003B53C7"/>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A37"/>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A72"/>
    <w:rsid w:val="003F1AD5"/>
    <w:rsid w:val="003F1DA4"/>
    <w:rsid w:val="003F1E1C"/>
    <w:rsid w:val="003F21A6"/>
    <w:rsid w:val="003F2306"/>
    <w:rsid w:val="003F27D5"/>
    <w:rsid w:val="003F2910"/>
    <w:rsid w:val="003F2930"/>
    <w:rsid w:val="003F46D8"/>
    <w:rsid w:val="003F49C8"/>
    <w:rsid w:val="003F4AF5"/>
    <w:rsid w:val="003F4C0D"/>
    <w:rsid w:val="003F4EC2"/>
    <w:rsid w:val="003F50BF"/>
    <w:rsid w:val="003F5304"/>
    <w:rsid w:val="003F5516"/>
    <w:rsid w:val="003F5C3D"/>
    <w:rsid w:val="003F5E5E"/>
    <w:rsid w:val="003F5FCB"/>
    <w:rsid w:val="003F6440"/>
    <w:rsid w:val="003F6A59"/>
    <w:rsid w:val="003F727C"/>
    <w:rsid w:val="003F73DD"/>
    <w:rsid w:val="00400EC2"/>
    <w:rsid w:val="004010DA"/>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F9F"/>
    <w:rsid w:val="0041115E"/>
    <w:rsid w:val="004111A9"/>
    <w:rsid w:val="004112BB"/>
    <w:rsid w:val="004116B5"/>
    <w:rsid w:val="00411847"/>
    <w:rsid w:val="00411A13"/>
    <w:rsid w:val="00411B74"/>
    <w:rsid w:val="00411DB5"/>
    <w:rsid w:val="004120F1"/>
    <w:rsid w:val="004122AC"/>
    <w:rsid w:val="0041249A"/>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80"/>
    <w:rsid w:val="00422F59"/>
    <w:rsid w:val="00423451"/>
    <w:rsid w:val="004239E1"/>
    <w:rsid w:val="0042576A"/>
    <w:rsid w:val="00425D16"/>
    <w:rsid w:val="004264B6"/>
    <w:rsid w:val="00426AD0"/>
    <w:rsid w:val="00426C6F"/>
    <w:rsid w:val="0042735E"/>
    <w:rsid w:val="0042764C"/>
    <w:rsid w:val="004300CB"/>
    <w:rsid w:val="00430B3B"/>
    <w:rsid w:val="00430CE8"/>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4018B"/>
    <w:rsid w:val="00440EC1"/>
    <w:rsid w:val="004418A6"/>
    <w:rsid w:val="00441D0F"/>
    <w:rsid w:val="00442494"/>
    <w:rsid w:val="0044424D"/>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CCE"/>
    <w:rsid w:val="0045236E"/>
    <w:rsid w:val="00452F28"/>
    <w:rsid w:val="00453767"/>
    <w:rsid w:val="00453897"/>
    <w:rsid w:val="00453B4F"/>
    <w:rsid w:val="004546B4"/>
    <w:rsid w:val="0045490C"/>
    <w:rsid w:val="0045496C"/>
    <w:rsid w:val="00454B84"/>
    <w:rsid w:val="00454BE6"/>
    <w:rsid w:val="0045526D"/>
    <w:rsid w:val="004555BE"/>
    <w:rsid w:val="00455925"/>
    <w:rsid w:val="00455E82"/>
    <w:rsid w:val="00455F90"/>
    <w:rsid w:val="0045674B"/>
    <w:rsid w:val="004567A8"/>
    <w:rsid w:val="00456946"/>
    <w:rsid w:val="00456EF9"/>
    <w:rsid w:val="00456FB2"/>
    <w:rsid w:val="00457322"/>
    <w:rsid w:val="0045745B"/>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B68"/>
    <w:rsid w:val="00466F05"/>
    <w:rsid w:val="00467069"/>
    <w:rsid w:val="004678D4"/>
    <w:rsid w:val="00471177"/>
    <w:rsid w:val="0047185E"/>
    <w:rsid w:val="0047197D"/>
    <w:rsid w:val="00471A93"/>
    <w:rsid w:val="00471C06"/>
    <w:rsid w:val="00471DC2"/>
    <w:rsid w:val="00472352"/>
    <w:rsid w:val="0047238A"/>
    <w:rsid w:val="004723A7"/>
    <w:rsid w:val="00472616"/>
    <w:rsid w:val="004736B9"/>
    <w:rsid w:val="00473A0F"/>
    <w:rsid w:val="00473B6E"/>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4FD"/>
    <w:rsid w:val="00483655"/>
    <w:rsid w:val="00483695"/>
    <w:rsid w:val="00483B67"/>
    <w:rsid w:val="00483D3E"/>
    <w:rsid w:val="00483ED7"/>
    <w:rsid w:val="00484324"/>
    <w:rsid w:val="00484A71"/>
    <w:rsid w:val="00485798"/>
    <w:rsid w:val="004858C1"/>
    <w:rsid w:val="00485BAC"/>
    <w:rsid w:val="00485C03"/>
    <w:rsid w:val="0048603E"/>
    <w:rsid w:val="00486428"/>
    <w:rsid w:val="004864E1"/>
    <w:rsid w:val="004865D5"/>
    <w:rsid w:val="00486944"/>
    <w:rsid w:val="00486CB8"/>
    <w:rsid w:val="00486D5B"/>
    <w:rsid w:val="004877B6"/>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573"/>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9E9"/>
    <w:rsid w:val="004A49F3"/>
    <w:rsid w:val="004A4B7D"/>
    <w:rsid w:val="004A4DE9"/>
    <w:rsid w:val="004A4E8E"/>
    <w:rsid w:val="004A5130"/>
    <w:rsid w:val="004A5413"/>
    <w:rsid w:val="004A58B2"/>
    <w:rsid w:val="004A64DB"/>
    <w:rsid w:val="004A66C7"/>
    <w:rsid w:val="004A6E92"/>
    <w:rsid w:val="004A715A"/>
    <w:rsid w:val="004A724B"/>
    <w:rsid w:val="004A7C06"/>
    <w:rsid w:val="004B03B4"/>
    <w:rsid w:val="004B1023"/>
    <w:rsid w:val="004B10D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A"/>
    <w:rsid w:val="004D3605"/>
    <w:rsid w:val="004D398B"/>
    <w:rsid w:val="004D4328"/>
    <w:rsid w:val="004D4515"/>
    <w:rsid w:val="004D4601"/>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C33"/>
    <w:rsid w:val="004E643D"/>
    <w:rsid w:val="004E652E"/>
    <w:rsid w:val="004E6740"/>
    <w:rsid w:val="004E6920"/>
    <w:rsid w:val="004E7EAF"/>
    <w:rsid w:val="004E7F8A"/>
    <w:rsid w:val="004F014E"/>
    <w:rsid w:val="004F066E"/>
    <w:rsid w:val="004F0B47"/>
    <w:rsid w:val="004F0D89"/>
    <w:rsid w:val="004F0FD5"/>
    <w:rsid w:val="004F1096"/>
    <w:rsid w:val="004F12F4"/>
    <w:rsid w:val="004F1949"/>
    <w:rsid w:val="004F1A31"/>
    <w:rsid w:val="004F2ABD"/>
    <w:rsid w:val="004F2B49"/>
    <w:rsid w:val="004F2C4C"/>
    <w:rsid w:val="004F2C82"/>
    <w:rsid w:val="004F30D4"/>
    <w:rsid w:val="004F3427"/>
    <w:rsid w:val="004F34D4"/>
    <w:rsid w:val="004F3AB1"/>
    <w:rsid w:val="004F3BBB"/>
    <w:rsid w:val="004F4ECD"/>
    <w:rsid w:val="004F51BF"/>
    <w:rsid w:val="004F5418"/>
    <w:rsid w:val="004F55C4"/>
    <w:rsid w:val="004F58BC"/>
    <w:rsid w:val="004F59DE"/>
    <w:rsid w:val="004F5B32"/>
    <w:rsid w:val="004F60A9"/>
    <w:rsid w:val="004F6211"/>
    <w:rsid w:val="004F66D1"/>
    <w:rsid w:val="004F6F3D"/>
    <w:rsid w:val="004F73A5"/>
    <w:rsid w:val="004F7556"/>
    <w:rsid w:val="004F76F4"/>
    <w:rsid w:val="004F77C6"/>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4E4"/>
    <w:rsid w:val="00503992"/>
    <w:rsid w:val="00503D12"/>
    <w:rsid w:val="00504420"/>
    <w:rsid w:val="00504DC8"/>
    <w:rsid w:val="00504E75"/>
    <w:rsid w:val="0050556A"/>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1B5"/>
    <w:rsid w:val="0053374B"/>
    <w:rsid w:val="005342AA"/>
    <w:rsid w:val="005351AE"/>
    <w:rsid w:val="005352A7"/>
    <w:rsid w:val="00535761"/>
    <w:rsid w:val="005357B3"/>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B07"/>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3EAC"/>
    <w:rsid w:val="005740D7"/>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87C"/>
    <w:rsid w:val="00597B67"/>
    <w:rsid w:val="005A0049"/>
    <w:rsid w:val="005A01F4"/>
    <w:rsid w:val="005A046B"/>
    <w:rsid w:val="005A07A3"/>
    <w:rsid w:val="005A09D0"/>
    <w:rsid w:val="005A199D"/>
    <w:rsid w:val="005A1C29"/>
    <w:rsid w:val="005A1CCC"/>
    <w:rsid w:val="005A2281"/>
    <w:rsid w:val="005A2C0F"/>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2CB"/>
    <w:rsid w:val="005A7676"/>
    <w:rsid w:val="005A77C6"/>
    <w:rsid w:val="005A791E"/>
    <w:rsid w:val="005A7A01"/>
    <w:rsid w:val="005A7ABB"/>
    <w:rsid w:val="005B0621"/>
    <w:rsid w:val="005B084A"/>
    <w:rsid w:val="005B08A9"/>
    <w:rsid w:val="005B0F97"/>
    <w:rsid w:val="005B1058"/>
    <w:rsid w:val="005B142A"/>
    <w:rsid w:val="005B17D5"/>
    <w:rsid w:val="005B1CDA"/>
    <w:rsid w:val="005B21D8"/>
    <w:rsid w:val="005B2295"/>
    <w:rsid w:val="005B235F"/>
    <w:rsid w:val="005B2446"/>
    <w:rsid w:val="005B2635"/>
    <w:rsid w:val="005B286F"/>
    <w:rsid w:val="005B288E"/>
    <w:rsid w:val="005B31A5"/>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0FA7"/>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DDB"/>
    <w:rsid w:val="005C688C"/>
    <w:rsid w:val="005C6BA1"/>
    <w:rsid w:val="005C7656"/>
    <w:rsid w:val="005C7C21"/>
    <w:rsid w:val="005C7DB8"/>
    <w:rsid w:val="005D0520"/>
    <w:rsid w:val="005D0A13"/>
    <w:rsid w:val="005D0E35"/>
    <w:rsid w:val="005D14D9"/>
    <w:rsid w:val="005D1785"/>
    <w:rsid w:val="005D1877"/>
    <w:rsid w:val="005D1A8E"/>
    <w:rsid w:val="005D1D27"/>
    <w:rsid w:val="005D1DAC"/>
    <w:rsid w:val="005D2BA9"/>
    <w:rsid w:val="005D2E91"/>
    <w:rsid w:val="005D36C8"/>
    <w:rsid w:val="005D38FB"/>
    <w:rsid w:val="005D3E3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BC7"/>
    <w:rsid w:val="005F0C74"/>
    <w:rsid w:val="005F0CB4"/>
    <w:rsid w:val="005F0E08"/>
    <w:rsid w:val="005F102B"/>
    <w:rsid w:val="005F1117"/>
    <w:rsid w:val="005F12FC"/>
    <w:rsid w:val="005F1B48"/>
    <w:rsid w:val="005F1F27"/>
    <w:rsid w:val="005F22DA"/>
    <w:rsid w:val="005F2695"/>
    <w:rsid w:val="005F313B"/>
    <w:rsid w:val="005F32C7"/>
    <w:rsid w:val="005F3647"/>
    <w:rsid w:val="005F3BF1"/>
    <w:rsid w:val="005F3E4F"/>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D63"/>
    <w:rsid w:val="00620ED7"/>
    <w:rsid w:val="00620FC0"/>
    <w:rsid w:val="006214F8"/>
    <w:rsid w:val="00621736"/>
    <w:rsid w:val="00621D26"/>
    <w:rsid w:val="0062208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907"/>
    <w:rsid w:val="00644CC8"/>
    <w:rsid w:val="00645233"/>
    <w:rsid w:val="006454C1"/>
    <w:rsid w:val="00645587"/>
    <w:rsid w:val="006456EC"/>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183"/>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5FF"/>
    <w:rsid w:val="00676689"/>
    <w:rsid w:val="00676FB8"/>
    <w:rsid w:val="00677065"/>
    <w:rsid w:val="00677710"/>
    <w:rsid w:val="00677861"/>
    <w:rsid w:val="00677D2E"/>
    <w:rsid w:val="00677FD3"/>
    <w:rsid w:val="0068057B"/>
    <w:rsid w:val="006810C8"/>
    <w:rsid w:val="00681497"/>
    <w:rsid w:val="00682DE5"/>
    <w:rsid w:val="00683590"/>
    <w:rsid w:val="00683A98"/>
    <w:rsid w:val="00683B88"/>
    <w:rsid w:val="00683D3E"/>
    <w:rsid w:val="00684109"/>
    <w:rsid w:val="0068422A"/>
    <w:rsid w:val="006842E2"/>
    <w:rsid w:val="00684F8A"/>
    <w:rsid w:val="006853A9"/>
    <w:rsid w:val="0068547F"/>
    <w:rsid w:val="00685676"/>
    <w:rsid w:val="00685982"/>
    <w:rsid w:val="00685CB5"/>
    <w:rsid w:val="00686260"/>
    <w:rsid w:val="0068668A"/>
    <w:rsid w:val="00686BCA"/>
    <w:rsid w:val="00686F60"/>
    <w:rsid w:val="006874D0"/>
    <w:rsid w:val="0068764D"/>
    <w:rsid w:val="0068785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B16"/>
    <w:rsid w:val="006A0D86"/>
    <w:rsid w:val="006A0F99"/>
    <w:rsid w:val="006A1207"/>
    <w:rsid w:val="006A1A51"/>
    <w:rsid w:val="006A1A83"/>
    <w:rsid w:val="006A1AC3"/>
    <w:rsid w:val="006A1CBE"/>
    <w:rsid w:val="006A2091"/>
    <w:rsid w:val="006A3C12"/>
    <w:rsid w:val="006A40A9"/>
    <w:rsid w:val="006A4100"/>
    <w:rsid w:val="006A443D"/>
    <w:rsid w:val="006A4738"/>
    <w:rsid w:val="006A4BC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568"/>
    <w:rsid w:val="006B059C"/>
    <w:rsid w:val="006B0D7E"/>
    <w:rsid w:val="006B11EC"/>
    <w:rsid w:val="006B1208"/>
    <w:rsid w:val="006B140D"/>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4211"/>
    <w:rsid w:val="006C4922"/>
    <w:rsid w:val="006C574D"/>
    <w:rsid w:val="006C5AB6"/>
    <w:rsid w:val="006C5C72"/>
    <w:rsid w:val="006C5EB5"/>
    <w:rsid w:val="006C73D1"/>
    <w:rsid w:val="006C76A0"/>
    <w:rsid w:val="006D0082"/>
    <w:rsid w:val="006D0195"/>
    <w:rsid w:val="006D02B9"/>
    <w:rsid w:val="006D059C"/>
    <w:rsid w:val="006D0A7D"/>
    <w:rsid w:val="006D0D08"/>
    <w:rsid w:val="006D0ED2"/>
    <w:rsid w:val="006D110E"/>
    <w:rsid w:val="006D18CA"/>
    <w:rsid w:val="006D1E5C"/>
    <w:rsid w:val="006D2201"/>
    <w:rsid w:val="006D237A"/>
    <w:rsid w:val="006D2FEA"/>
    <w:rsid w:val="006D3004"/>
    <w:rsid w:val="006D33EC"/>
    <w:rsid w:val="006D3651"/>
    <w:rsid w:val="006D381F"/>
    <w:rsid w:val="006D3886"/>
    <w:rsid w:val="006D39AD"/>
    <w:rsid w:val="006D44E2"/>
    <w:rsid w:val="006D4B83"/>
    <w:rsid w:val="006D52D0"/>
    <w:rsid w:val="006D5B4D"/>
    <w:rsid w:val="006D610E"/>
    <w:rsid w:val="006D6326"/>
    <w:rsid w:val="006D695D"/>
    <w:rsid w:val="006D69DE"/>
    <w:rsid w:val="006D6B98"/>
    <w:rsid w:val="006D6FC7"/>
    <w:rsid w:val="006D7574"/>
    <w:rsid w:val="006D7776"/>
    <w:rsid w:val="006D7BE9"/>
    <w:rsid w:val="006D7D39"/>
    <w:rsid w:val="006D7FB5"/>
    <w:rsid w:val="006E0A6B"/>
    <w:rsid w:val="006E0B67"/>
    <w:rsid w:val="006E0CB0"/>
    <w:rsid w:val="006E0DBA"/>
    <w:rsid w:val="006E208E"/>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12AC"/>
    <w:rsid w:val="006F1574"/>
    <w:rsid w:val="006F1829"/>
    <w:rsid w:val="006F1D76"/>
    <w:rsid w:val="006F1F56"/>
    <w:rsid w:val="006F27AA"/>
    <w:rsid w:val="006F3043"/>
    <w:rsid w:val="006F34B7"/>
    <w:rsid w:val="006F3D75"/>
    <w:rsid w:val="006F3DE5"/>
    <w:rsid w:val="006F3FA8"/>
    <w:rsid w:val="006F48E2"/>
    <w:rsid w:val="006F495F"/>
    <w:rsid w:val="006F4DAF"/>
    <w:rsid w:val="006F5080"/>
    <w:rsid w:val="006F54E5"/>
    <w:rsid w:val="006F5831"/>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D1"/>
    <w:rsid w:val="007136BA"/>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667"/>
    <w:rsid w:val="007249B4"/>
    <w:rsid w:val="00725D1E"/>
    <w:rsid w:val="0072636E"/>
    <w:rsid w:val="007263DB"/>
    <w:rsid w:val="007269B9"/>
    <w:rsid w:val="00726AB8"/>
    <w:rsid w:val="00726B94"/>
    <w:rsid w:val="00726BA3"/>
    <w:rsid w:val="00726FBB"/>
    <w:rsid w:val="00727560"/>
    <w:rsid w:val="0072776D"/>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72"/>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E1"/>
    <w:rsid w:val="00746AB4"/>
    <w:rsid w:val="00746DAC"/>
    <w:rsid w:val="0074726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154"/>
    <w:rsid w:val="007668EE"/>
    <w:rsid w:val="00766A0D"/>
    <w:rsid w:val="00766A2C"/>
    <w:rsid w:val="007678AB"/>
    <w:rsid w:val="007678C0"/>
    <w:rsid w:val="00767B9B"/>
    <w:rsid w:val="007700E9"/>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578"/>
    <w:rsid w:val="007806CB"/>
    <w:rsid w:val="00780735"/>
    <w:rsid w:val="0078085C"/>
    <w:rsid w:val="00780B3C"/>
    <w:rsid w:val="00782368"/>
    <w:rsid w:val="00782D60"/>
    <w:rsid w:val="00783003"/>
    <w:rsid w:val="007831B3"/>
    <w:rsid w:val="00783551"/>
    <w:rsid w:val="007836D5"/>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8F6"/>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6B5"/>
    <w:rsid w:val="00793864"/>
    <w:rsid w:val="007938A4"/>
    <w:rsid w:val="00793A22"/>
    <w:rsid w:val="00793B1A"/>
    <w:rsid w:val="00794000"/>
    <w:rsid w:val="007943FA"/>
    <w:rsid w:val="0079442D"/>
    <w:rsid w:val="00794441"/>
    <w:rsid w:val="00794F42"/>
    <w:rsid w:val="0079529E"/>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D60"/>
    <w:rsid w:val="007A2225"/>
    <w:rsid w:val="007A2720"/>
    <w:rsid w:val="007A276C"/>
    <w:rsid w:val="007A29D9"/>
    <w:rsid w:val="007A31BC"/>
    <w:rsid w:val="007A36ED"/>
    <w:rsid w:val="007A3D39"/>
    <w:rsid w:val="007A4999"/>
    <w:rsid w:val="007A4B19"/>
    <w:rsid w:val="007A4B76"/>
    <w:rsid w:val="007A4CD1"/>
    <w:rsid w:val="007A4DC8"/>
    <w:rsid w:val="007A4EBB"/>
    <w:rsid w:val="007A5064"/>
    <w:rsid w:val="007A5A94"/>
    <w:rsid w:val="007A6237"/>
    <w:rsid w:val="007A6799"/>
    <w:rsid w:val="007A696A"/>
    <w:rsid w:val="007A6F06"/>
    <w:rsid w:val="007A76A0"/>
    <w:rsid w:val="007A79C8"/>
    <w:rsid w:val="007B0118"/>
    <w:rsid w:val="007B0952"/>
    <w:rsid w:val="007B0BD3"/>
    <w:rsid w:val="007B0E47"/>
    <w:rsid w:val="007B149C"/>
    <w:rsid w:val="007B2536"/>
    <w:rsid w:val="007B3952"/>
    <w:rsid w:val="007B3D4F"/>
    <w:rsid w:val="007B446A"/>
    <w:rsid w:val="007B4498"/>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F1"/>
    <w:rsid w:val="007D3A6D"/>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FB5"/>
    <w:rsid w:val="007E7FB6"/>
    <w:rsid w:val="007F033C"/>
    <w:rsid w:val="007F0960"/>
    <w:rsid w:val="007F0B4B"/>
    <w:rsid w:val="007F0B7E"/>
    <w:rsid w:val="007F0CE2"/>
    <w:rsid w:val="007F0E6B"/>
    <w:rsid w:val="007F0F5C"/>
    <w:rsid w:val="007F11E8"/>
    <w:rsid w:val="007F12FC"/>
    <w:rsid w:val="007F1803"/>
    <w:rsid w:val="007F244E"/>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7421"/>
    <w:rsid w:val="0080779D"/>
    <w:rsid w:val="00807E69"/>
    <w:rsid w:val="008100A0"/>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60F3"/>
    <w:rsid w:val="008161AB"/>
    <w:rsid w:val="008161DB"/>
    <w:rsid w:val="00816696"/>
    <w:rsid w:val="00816B0D"/>
    <w:rsid w:val="0081756A"/>
    <w:rsid w:val="00817D19"/>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75A"/>
    <w:rsid w:val="00825925"/>
    <w:rsid w:val="00825AB5"/>
    <w:rsid w:val="00826975"/>
    <w:rsid w:val="00826F0E"/>
    <w:rsid w:val="00827178"/>
    <w:rsid w:val="00827747"/>
    <w:rsid w:val="008279CB"/>
    <w:rsid w:val="00827BE8"/>
    <w:rsid w:val="008301C3"/>
    <w:rsid w:val="008304FD"/>
    <w:rsid w:val="0083056C"/>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8A6"/>
    <w:rsid w:val="00845BB6"/>
    <w:rsid w:val="00845C1E"/>
    <w:rsid w:val="008464BF"/>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499"/>
    <w:rsid w:val="008537FC"/>
    <w:rsid w:val="00853E2D"/>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266"/>
    <w:rsid w:val="00860ED1"/>
    <w:rsid w:val="00860F1A"/>
    <w:rsid w:val="008617D4"/>
    <w:rsid w:val="00861DE9"/>
    <w:rsid w:val="00861E41"/>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58D8"/>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A6E"/>
    <w:rsid w:val="008A6E23"/>
    <w:rsid w:val="008A701C"/>
    <w:rsid w:val="008A70B9"/>
    <w:rsid w:val="008A74C5"/>
    <w:rsid w:val="008A7DBB"/>
    <w:rsid w:val="008B03C4"/>
    <w:rsid w:val="008B0A7C"/>
    <w:rsid w:val="008B1273"/>
    <w:rsid w:val="008B199F"/>
    <w:rsid w:val="008B1A4E"/>
    <w:rsid w:val="008B1CE7"/>
    <w:rsid w:val="008B2640"/>
    <w:rsid w:val="008B2872"/>
    <w:rsid w:val="008B2892"/>
    <w:rsid w:val="008B291E"/>
    <w:rsid w:val="008B2ED1"/>
    <w:rsid w:val="008B2EE0"/>
    <w:rsid w:val="008B304D"/>
    <w:rsid w:val="008B331E"/>
    <w:rsid w:val="008B3B6A"/>
    <w:rsid w:val="008B412C"/>
    <w:rsid w:val="008B5868"/>
    <w:rsid w:val="008B6A34"/>
    <w:rsid w:val="008B6A67"/>
    <w:rsid w:val="008B6D50"/>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FE1"/>
    <w:rsid w:val="008C53F3"/>
    <w:rsid w:val="008C5CEA"/>
    <w:rsid w:val="008C6238"/>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B5B"/>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B6A"/>
    <w:rsid w:val="008F4EB8"/>
    <w:rsid w:val="008F53E2"/>
    <w:rsid w:val="008F5B85"/>
    <w:rsid w:val="008F6220"/>
    <w:rsid w:val="008F64AA"/>
    <w:rsid w:val="008F695B"/>
    <w:rsid w:val="008F77B1"/>
    <w:rsid w:val="008F797E"/>
    <w:rsid w:val="008F7CD0"/>
    <w:rsid w:val="008F7F68"/>
    <w:rsid w:val="00900329"/>
    <w:rsid w:val="009003F9"/>
    <w:rsid w:val="009005C1"/>
    <w:rsid w:val="00900986"/>
    <w:rsid w:val="00900A60"/>
    <w:rsid w:val="00900EA5"/>
    <w:rsid w:val="00900ECE"/>
    <w:rsid w:val="009029D6"/>
    <w:rsid w:val="00903069"/>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B5C"/>
    <w:rsid w:val="00952D6E"/>
    <w:rsid w:val="00952DFC"/>
    <w:rsid w:val="009532B9"/>
    <w:rsid w:val="00953578"/>
    <w:rsid w:val="00953781"/>
    <w:rsid w:val="00953F34"/>
    <w:rsid w:val="009545BD"/>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B1"/>
    <w:rsid w:val="00966E9C"/>
    <w:rsid w:val="00966F8C"/>
    <w:rsid w:val="00967109"/>
    <w:rsid w:val="0096725D"/>
    <w:rsid w:val="00967864"/>
    <w:rsid w:val="00967BBC"/>
    <w:rsid w:val="00970072"/>
    <w:rsid w:val="00970137"/>
    <w:rsid w:val="009703F4"/>
    <w:rsid w:val="00971277"/>
    <w:rsid w:val="00971916"/>
    <w:rsid w:val="00971DB4"/>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46D"/>
    <w:rsid w:val="0099570D"/>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330E"/>
    <w:rsid w:val="009B3419"/>
    <w:rsid w:val="009B350B"/>
    <w:rsid w:val="009B3D69"/>
    <w:rsid w:val="009B474F"/>
    <w:rsid w:val="009B4B8C"/>
    <w:rsid w:val="009B4E54"/>
    <w:rsid w:val="009B5128"/>
    <w:rsid w:val="009B55BD"/>
    <w:rsid w:val="009B5C84"/>
    <w:rsid w:val="009B63E4"/>
    <w:rsid w:val="009B6DCD"/>
    <w:rsid w:val="009B6FA1"/>
    <w:rsid w:val="009B717E"/>
    <w:rsid w:val="009B719B"/>
    <w:rsid w:val="009B71DF"/>
    <w:rsid w:val="009B7202"/>
    <w:rsid w:val="009B77F0"/>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53A4"/>
    <w:rsid w:val="009D53EB"/>
    <w:rsid w:val="009D546C"/>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53"/>
    <w:rsid w:val="009E2474"/>
    <w:rsid w:val="009E2A13"/>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A3A"/>
    <w:rsid w:val="00A150C2"/>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305"/>
    <w:rsid w:val="00A3571F"/>
    <w:rsid w:val="00A36038"/>
    <w:rsid w:val="00A36DCB"/>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61A9"/>
    <w:rsid w:val="00A4631B"/>
    <w:rsid w:val="00A465FA"/>
    <w:rsid w:val="00A46784"/>
    <w:rsid w:val="00A46AE5"/>
    <w:rsid w:val="00A46E29"/>
    <w:rsid w:val="00A471E0"/>
    <w:rsid w:val="00A4738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600D"/>
    <w:rsid w:val="00A562B3"/>
    <w:rsid w:val="00A569A4"/>
    <w:rsid w:val="00A570EF"/>
    <w:rsid w:val="00A57656"/>
    <w:rsid w:val="00A57999"/>
    <w:rsid w:val="00A57BFF"/>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1AE"/>
    <w:rsid w:val="00A7250A"/>
    <w:rsid w:val="00A725DB"/>
    <w:rsid w:val="00A726D0"/>
    <w:rsid w:val="00A727EE"/>
    <w:rsid w:val="00A72877"/>
    <w:rsid w:val="00A72ADA"/>
    <w:rsid w:val="00A72C82"/>
    <w:rsid w:val="00A72DE1"/>
    <w:rsid w:val="00A72E4B"/>
    <w:rsid w:val="00A730E8"/>
    <w:rsid w:val="00A73490"/>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E6C"/>
    <w:rsid w:val="00A83E7D"/>
    <w:rsid w:val="00A83ED4"/>
    <w:rsid w:val="00A84621"/>
    <w:rsid w:val="00A8473B"/>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DB1"/>
    <w:rsid w:val="00A95390"/>
    <w:rsid w:val="00A95754"/>
    <w:rsid w:val="00A95B0E"/>
    <w:rsid w:val="00A9682C"/>
    <w:rsid w:val="00A96D4D"/>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99E"/>
    <w:rsid w:val="00AA4C5E"/>
    <w:rsid w:val="00AA5133"/>
    <w:rsid w:val="00AA5732"/>
    <w:rsid w:val="00AA5C11"/>
    <w:rsid w:val="00AA5C9B"/>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657"/>
    <w:rsid w:val="00AD29EB"/>
    <w:rsid w:val="00AD2B29"/>
    <w:rsid w:val="00AD2C78"/>
    <w:rsid w:val="00AD33B0"/>
    <w:rsid w:val="00AD3B6A"/>
    <w:rsid w:val="00AD3D31"/>
    <w:rsid w:val="00AD3F76"/>
    <w:rsid w:val="00AD4035"/>
    <w:rsid w:val="00AD46B7"/>
    <w:rsid w:val="00AD482F"/>
    <w:rsid w:val="00AD530D"/>
    <w:rsid w:val="00AD5B2C"/>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BE"/>
    <w:rsid w:val="00AE7EA7"/>
    <w:rsid w:val="00AE7EF9"/>
    <w:rsid w:val="00AF0205"/>
    <w:rsid w:val="00AF0536"/>
    <w:rsid w:val="00AF0744"/>
    <w:rsid w:val="00AF0784"/>
    <w:rsid w:val="00AF172E"/>
    <w:rsid w:val="00AF1890"/>
    <w:rsid w:val="00AF1E48"/>
    <w:rsid w:val="00AF1E8D"/>
    <w:rsid w:val="00AF2284"/>
    <w:rsid w:val="00AF2313"/>
    <w:rsid w:val="00AF267C"/>
    <w:rsid w:val="00AF2846"/>
    <w:rsid w:val="00AF299B"/>
    <w:rsid w:val="00AF3473"/>
    <w:rsid w:val="00AF37EC"/>
    <w:rsid w:val="00AF39D8"/>
    <w:rsid w:val="00AF3A76"/>
    <w:rsid w:val="00AF45CD"/>
    <w:rsid w:val="00AF4A07"/>
    <w:rsid w:val="00AF4D45"/>
    <w:rsid w:val="00AF4E18"/>
    <w:rsid w:val="00AF5588"/>
    <w:rsid w:val="00AF5EB5"/>
    <w:rsid w:val="00AF5F0D"/>
    <w:rsid w:val="00AF6578"/>
    <w:rsid w:val="00AF7515"/>
    <w:rsid w:val="00AF7A72"/>
    <w:rsid w:val="00AF7CC7"/>
    <w:rsid w:val="00AF7F6F"/>
    <w:rsid w:val="00B00341"/>
    <w:rsid w:val="00B00CB4"/>
    <w:rsid w:val="00B00D2F"/>
    <w:rsid w:val="00B00DAC"/>
    <w:rsid w:val="00B010E3"/>
    <w:rsid w:val="00B01505"/>
    <w:rsid w:val="00B015F9"/>
    <w:rsid w:val="00B01649"/>
    <w:rsid w:val="00B01875"/>
    <w:rsid w:val="00B0208E"/>
    <w:rsid w:val="00B0334E"/>
    <w:rsid w:val="00B039EC"/>
    <w:rsid w:val="00B03D6B"/>
    <w:rsid w:val="00B03EA4"/>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5129"/>
    <w:rsid w:val="00B554C7"/>
    <w:rsid w:val="00B557B2"/>
    <w:rsid w:val="00B55D8D"/>
    <w:rsid w:val="00B55E48"/>
    <w:rsid w:val="00B55FBF"/>
    <w:rsid w:val="00B57169"/>
    <w:rsid w:val="00B57660"/>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97"/>
    <w:rsid w:val="00B71F0A"/>
    <w:rsid w:val="00B7221F"/>
    <w:rsid w:val="00B72340"/>
    <w:rsid w:val="00B7254C"/>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83E"/>
    <w:rsid w:val="00B82E23"/>
    <w:rsid w:val="00B83357"/>
    <w:rsid w:val="00B837C2"/>
    <w:rsid w:val="00B83BC7"/>
    <w:rsid w:val="00B83C28"/>
    <w:rsid w:val="00B83C99"/>
    <w:rsid w:val="00B83F14"/>
    <w:rsid w:val="00B84248"/>
    <w:rsid w:val="00B84369"/>
    <w:rsid w:val="00B844BD"/>
    <w:rsid w:val="00B84852"/>
    <w:rsid w:val="00B85956"/>
    <w:rsid w:val="00B86576"/>
    <w:rsid w:val="00B86E7F"/>
    <w:rsid w:val="00B873BC"/>
    <w:rsid w:val="00B87508"/>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CB9"/>
    <w:rsid w:val="00B959F0"/>
    <w:rsid w:val="00B95AC3"/>
    <w:rsid w:val="00B9632A"/>
    <w:rsid w:val="00B964E5"/>
    <w:rsid w:val="00B969DB"/>
    <w:rsid w:val="00B96E5A"/>
    <w:rsid w:val="00B9751A"/>
    <w:rsid w:val="00B976DD"/>
    <w:rsid w:val="00B97765"/>
    <w:rsid w:val="00B97C5D"/>
    <w:rsid w:val="00BA030D"/>
    <w:rsid w:val="00BA06E3"/>
    <w:rsid w:val="00BA0C8C"/>
    <w:rsid w:val="00BA109A"/>
    <w:rsid w:val="00BA1150"/>
    <w:rsid w:val="00BA11F7"/>
    <w:rsid w:val="00BA1593"/>
    <w:rsid w:val="00BA1642"/>
    <w:rsid w:val="00BA187F"/>
    <w:rsid w:val="00BA1B53"/>
    <w:rsid w:val="00BA22FC"/>
    <w:rsid w:val="00BA28CF"/>
    <w:rsid w:val="00BA313B"/>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76B"/>
    <w:rsid w:val="00BA6D6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A6C"/>
    <w:rsid w:val="00BE2DAB"/>
    <w:rsid w:val="00BE2E43"/>
    <w:rsid w:val="00BE3294"/>
    <w:rsid w:val="00BE3AC6"/>
    <w:rsid w:val="00BE3BE3"/>
    <w:rsid w:val="00BE3E70"/>
    <w:rsid w:val="00BE4131"/>
    <w:rsid w:val="00BE4185"/>
    <w:rsid w:val="00BE4B8D"/>
    <w:rsid w:val="00BE50CD"/>
    <w:rsid w:val="00BE52BB"/>
    <w:rsid w:val="00BE5373"/>
    <w:rsid w:val="00BE5C48"/>
    <w:rsid w:val="00BE5E26"/>
    <w:rsid w:val="00BE61A7"/>
    <w:rsid w:val="00BE6928"/>
    <w:rsid w:val="00BE698C"/>
    <w:rsid w:val="00BE70A7"/>
    <w:rsid w:val="00BE7744"/>
    <w:rsid w:val="00BE77A9"/>
    <w:rsid w:val="00BE7813"/>
    <w:rsid w:val="00BE789D"/>
    <w:rsid w:val="00BE79EF"/>
    <w:rsid w:val="00BE7A9E"/>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712"/>
    <w:rsid w:val="00C11E9B"/>
    <w:rsid w:val="00C12012"/>
    <w:rsid w:val="00C125A6"/>
    <w:rsid w:val="00C12714"/>
    <w:rsid w:val="00C12ADB"/>
    <w:rsid w:val="00C13479"/>
    <w:rsid w:val="00C138D6"/>
    <w:rsid w:val="00C13E82"/>
    <w:rsid w:val="00C14752"/>
    <w:rsid w:val="00C14BCF"/>
    <w:rsid w:val="00C15244"/>
    <w:rsid w:val="00C157A0"/>
    <w:rsid w:val="00C168C6"/>
    <w:rsid w:val="00C16A56"/>
    <w:rsid w:val="00C1769A"/>
    <w:rsid w:val="00C17D9F"/>
    <w:rsid w:val="00C20182"/>
    <w:rsid w:val="00C2038E"/>
    <w:rsid w:val="00C20A5D"/>
    <w:rsid w:val="00C20D3E"/>
    <w:rsid w:val="00C20F4E"/>
    <w:rsid w:val="00C212FB"/>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321D"/>
    <w:rsid w:val="00C33600"/>
    <w:rsid w:val="00C33687"/>
    <w:rsid w:val="00C337CD"/>
    <w:rsid w:val="00C33F49"/>
    <w:rsid w:val="00C33FCE"/>
    <w:rsid w:val="00C344DF"/>
    <w:rsid w:val="00C3576A"/>
    <w:rsid w:val="00C35A26"/>
    <w:rsid w:val="00C35B6F"/>
    <w:rsid w:val="00C364D6"/>
    <w:rsid w:val="00C367B1"/>
    <w:rsid w:val="00C3694C"/>
    <w:rsid w:val="00C36B03"/>
    <w:rsid w:val="00C3764E"/>
    <w:rsid w:val="00C37A62"/>
    <w:rsid w:val="00C402BB"/>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4E0E"/>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E8F"/>
    <w:rsid w:val="00C51096"/>
    <w:rsid w:val="00C51122"/>
    <w:rsid w:val="00C5177E"/>
    <w:rsid w:val="00C517EB"/>
    <w:rsid w:val="00C51933"/>
    <w:rsid w:val="00C51D27"/>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1A9"/>
    <w:rsid w:val="00C64816"/>
    <w:rsid w:val="00C65535"/>
    <w:rsid w:val="00C65BB5"/>
    <w:rsid w:val="00C65CAE"/>
    <w:rsid w:val="00C665EC"/>
    <w:rsid w:val="00C668A6"/>
    <w:rsid w:val="00C6699F"/>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568"/>
    <w:rsid w:val="00C735EB"/>
    <w:rsid w:val="00C73C42"/>
    <w:rsid w:val="00C74832"/>
    <w:rsid w:val="00C74835"/>
    <w:rsid w:val="00C7493C"/>
    <w:rsid w:val="00C74990"/>
    <w:rsid w:val="00C751EC"/>
    <w:rsid w:val="00C75ACB"/>
    <w:rsid w:val="00C76037"/>
    <w:rsid w:val="00C760C1"/>
    <w:rsid w:val="00C768B3"/>
    <w:rsid w:val="00C77266"/>
    <w:rsid w:val="00C772C7"/>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3E28"/>
    <w:rsid w:val="00C84011"/>
    <w:rsid w:val="00C8472C"/>
    <w:rsid w:val="00C84DC4"/>
    <w:rsid w:val="00C84F46"/>
    <w:rsid w:val="00C854A8"/>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644"/>
    <w:rsid w:val="00C929BF"/>
    <w:rsid w:val="00C92F38"/>
    <w:rsid w:val="00C93080"/>
    <w:rsid w:val="00C940B2"/>
    <w:rsid w:val="00C94235"/>
    <w:rsid w:val="00C94CDD"/>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115B"/>
    <w:rsid w:val="00CA1585"/>
    <w:rsid w:val="00CA18DA"/>
    <w:rsid w:val="00CA1990"/>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50A6"/>
    <w:rsid w:val="00CA5422"/>
    <w:rsid w:val="00CA5C91"/>
    <w:rsid w:val="00CA609A"/>
    <w:rsid w:val="00CA6AA4"/>
    <w:rsid w:val="00CA6B81"/>
    <w:rsid w:val="00CA7256"/>
    <w:rsid w:val="00CA7E34"/>
    <w:rsid w:val="00CB0256"/>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AF4"/>
    <w:rsid w:val="00CB7F1D"/>
    <w:rsid w:val="00CB7F5D"/>
    <w:rsid w:val="00CC004A"/>
    <w:rsid w:val="00CC0223"/>
    <w:rsid w:val="00CC0703"/>
    <w:rsid w:val="00CC14D1"/>
    <w:rsid w:val="00CC1B29"/>
    <w:rsid w:val="00CC2555"/>
    <w:rsid w:val="00CC2D12"/>
    <w:rsid w:val="00CC31DD"/>
    <w:rsid w:val="00CC3270"/>
    <w:rsid w:val="00CC363B"/>
    <w:rsid w:val="00CC3D2B"/>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645"/>
    <w:rsid w:val="00CD1A92"/>
    <w:rsid w:val="00CD1D31"/>
    <w:rsid w:val="00CD1F55"/>
    <w:rsid w:val="00CD1F9D"/>
    <w:rsid w:val="00CD229D"/>
    <w:rsid w:val="00CD2B47"/>
    <w:rsid w:val="00CD30CF"/>
    <w:rsid w:val="00CD34AE"/>
    <w:rsid w:val="00CD3561"/>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5AB"/>
    <w:rsid w:val="00CE7E71"/>
    <w:rsid w:val="00CF0441"/>
    <w:rsid w:val="00CF0665"/>
    <w:rsid w:val="00CF0939"/>
    <w:rsid w:val="00CF0BD5"/>
    <w:rsid w:val="00CF1586"/>
    <w:rsid w:val="00CF1855"/>
    <w:rsid w:val="00CF18EB"/>
    <w:rsid w:val="00CF1A1F"/>
    <w:rsid w:val="00CF1DFA"/>
    <w:rsid w:val="00CF23B1"/>
    <w:rsid w:val="00CF24E4"/>
    <w:rsid w:val="00CF2D2E"/>
    <w:rsid w:val="00CF3240"/>
    <w:rsid w:val="00CF362C"/>
    <w:rsid w:val="00CF36E9"/>
    <w:rsid w:val="00CF3C9C"/>
    <w:rsid w:val="00CF44BC"/>
    <w:rsid w:val="00CF4581"/>
    <w:rsid w:val="00CF4DC7"/>
    <w:rsid w:val="00CF5136"/>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11"/>
    <w:rsid w:val="00D020D2"/>
    <w:rsid w:val="00D02176"/>
    <w:rsid w:val="00D0291E"/>
    <w:rsid w:val="00D02B71"/>
    <w:rsid w:val="00D0378A"/>
    <w:rsid w:val="00D0388D"/>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A32"/>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373"/>
    <w:rsid w:val="00D304D0"/>
    <w:rsid w:val="00D309F0"/>
    <w:rsid w:val="00D317C2"/>
    <w:rsid w:val="00D31A55"/>
    <w:rsid w:val="00D32033"/>
    <w:rsid w:val="00D322C4"/>
    <w:rsid w:val="00D32B0C"/>
    <w:rsid w:val="00D32BAB"/>
    <w:rsid w:val="00D33214"/>
    <w:rsid w:val="00D33A1E"/>
    <w:rsid w:val="00D33E5F"/>
    <w:rsid w:val="00D34048"/>
    <w:rsid w:val="00D3412F"/>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F7E"/>
    <w:rsid w:val="00D372A7"/>
    <w:rsid w:val="00D37521"/>
    <w:rsid w:val="00D375B3"/>
    <w:rsid w:val="00D376BF"/>
    <w:rsid w:val="00D377E1"/>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0C6"/>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95E"/>
    <w:rsid w:val="00D84A39"/>
    <w:rsid w:val="00D84BAA"/>
    <w:rsid w:val="00D84D0B"/>
    <w:rsid w:val="00D85091"/>
    <w:rsid w:val="00D85155"/>
    <w:rsid w:val="00D852A2"/>
    <w:rsid w:val="00D85E4D"/>
    <w:rsid w:val="00D85EA4"/>
    <w:rsid w:val="00D8657E"/>
    <w:rsid w:val="00D873A1"/>
    <w:rsid w:val="00D9074A"/>
    <w:rsid w:val="00D9090C"/>
    <w:rsid w:val="00D9095D"/>
    <w:rsid w:val="00D9097D"/>
    <w:rsid w:val="00D90E26"/>
    <w:rsid w:val="00D90E3D"/>
    <w:rsid w:val="00D90EDB"/>
    <w:rsid w:val="00D91B29"/>
    <w:rsid w:val="00D9223D"/>
    <w:rsid w:val="00D92320"/>
    <w:rsid w:val="00D92A02"/>
    <w:rsid w:val="00D92D5E"/>
    <w:rsid w:val="00D92EB3"/>
    <w:rsid w:val="00D930F3"/>
    <w:rsid w:val="00D9353E"/>
    <w:rsid w:val="00D93976"/>
    <w:rsid w:val="00D93DC0"/>
    <w:rsid w:val="00D94720"/>
    <w:rsid w:val="00D949C7"/>
    <w:rsid w:val="00D94D77"/>
    <w:rsid w:val="00D94E69"/>
    <w:rsid w:val="00D950CB"/>
    <w:rsid w:val="00D952E4"/>
    <w:rsid w:val="00D95624"/>
    <w:rsid w:val="00D95B22"/>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B5E"/>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B6E"/>
    <w:rsid w:val="00DD03E3"/>
    <w:rsid w:val="00DD04AB"/>
    <w:rsid w:val="00DD05B3"/>
    <w:rsid w:val="00DD0692"/>
    <w:rsid w:val="00DD09F7"/>
    <w:rsid w:val="00DD0B00"/>
    <w:rsid w:val="00DD0B20"/>
    <w:rsid w:val="00DD0C93"/>
    <w:rsid w:val="00DD21DD"/>
    <w:rsid w:val="00DD23E1"/>
    <w:rsid w:val="00DD2400"/>
    <w:rsid w:val="00DD350D"/>
    <w:rsid w:val="00DD352E"/>
    <w:rsid w:val="00DD359C"/>
    <w:rsid w:val="00DD3B19"/>
    <w:rsid w:val="00DD3F67"/>
    <w:rsid w:val="00DD4216"/>
    <w:rsid w:val="00DD4D93"/>
    <w:rsid w:val="00DD4F6E"/>
    <w:rsid w:val="00DD50DD"/>
    <w:rsid w:val="00DD5553"/>
    <w:rsid w:val="00DD56FD"/>
    <w:rsid w:val="00DD5AE1"/>
    <w:rsid w:val="00DD5EAE"/>
    <w:rsid w:val="00DD6D75"/>
    <w:rsid w:val="00DD6FE3"/>
    <w:rsid w:val="00DD75C4"/>
    <w:rsid w:val="00DD7718"/>
    <w:rsid w:val="00DD78F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12D1"/>
    <w:rsid w:val="00DF1383"/>
    <w:rsid w:val="00DF1775"/>
    <w:rsid w:val="00DF1B9D"/>
    <w:rsid w:val="00DF266D"/>
    <w:rsid w:val="00DF29E8"/>
    <w:rsid w:val="00DF2A1A"/>
    <w:rsid w:val="00DF2D4E"/>
    <w:rsid w:val="00DF35D8"/>
    <w:rsid w:val="00DF3FDE"/>
    <w:rsid w:val="00DF4239"/>
    <w:rsid w:val="00DF49C5"/>
    <w:rsid w:val="00DF56E5"/>
    <w:rsid w:val="00DF573C"/>
    <w:rsid w:val="00DF5780"/>
    <w:rsid w:val="00DF5A4B"/>
    <w:rsid w:val="00DF712A"/>
    <w:rsid w:val="00DF7184"/>
    <w:rsid w:val="00DF7418"/>
    <w:rsid w:val="00DF7543"/>
    <w:rsid w:val="00DF78E4"/>
    <w:rsid w:val="00E00116"/>
    <w:rsid w:val="00E0065A"/>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B1A"/>
    <w:rsid w:val="00E20EAF"/>
    <w:rsid w:val="00E211B1"/>
    <w:rsid w:val="00E21390"/>
    <w:rsid w:val="00E21781"/>
    <w:rsid w:val="00E21E96"/>
    <w:rsid w:val="00E22527"/>
    <w:rsid w:val="00E22653"/>
    <w:rsid w:val="00E22695"/>
    <w:rsid w:val="00E228D4"/>
    <w:rsid w:val="00E22EE2"/>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2018"/>
    <w:rsid w:val="00E52089"/>
    <w:rsid w:val="00E52205"/>
    <w:rsid w:val="00E52619"/>
    <w:rsid w:val="00E5327E"/>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DB2"/>
    <w:rsid w:val="00E7426E"/>
    <w:rsid w:val="00E7467C"/>
    <w:rsid w:val="00E74697"/>
    <w:rsid w:val="00E74940"/>
    <w:rsid w:val="00E74F96"/>
    <w:rsid w:val="00E75064"/>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75D"/>
    <w:rsid w:val="00E81800"/>
    <w:rsid w:val="00E81A6B"/>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91C"/>
    <w:rsid w:val="00EC5E88"/>
    <w:rsid w:val="00EC69A3"/>
    <w:rsid w:val="00EC6B22"/>
    <w:rsid w:val="00EC6B3F"/>
    <w:rsid w:val="00EC7944"/>
    <w:rsid w:val="00EC7B84"/>
    <w:rsid w:val="00EC7C1B"/>
    <w:rsid w:val="00EC7F5E"/>
    <w:rsid w:val="00ED00C2"/>
    <w:rsid w:val="00ED0D1B"/>
    <w:rsid w:val="00ED17A9"/>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65B"/>
    <w:rsid w:val="00EF399B"/>
    <w:rsid w:val="00EF3FE1"/>
    <w:rsid w:val="00EF46DE"/>
    <w:rsid w:val="00EF4764"/>
    <w:rsid w:val="00EF494E"/>
    <w:rsid w:val="00EF512C"/>
    <w:rsid w:val="00EF581C"/>
    <w:rsid w:val="00EF58B6"/>
    <w:rsid w:val="00EF5B1D"/>
    <w:rsid w:val="00EF63F4"/>
    <w:rsid w:val="00EF65FC"/>
    <w:rsid w:val="00EF68CC"/>
    <w:rsid w:val="00EF6EF6"/>
    <w:rsid w:val="00EF7432"/>
    <w:rsid w:val="00EF74E7"/>
    <w:rsid w:val="00EF7939"/>
    <w:rsid w:val="00EF7966"/>
    <w:rsid w:val="00EF7C04"/>
    <w:rsid w:val="00EF7D94"/>
    <w:rsid w:val="00F0018C"/>
    <w:rsid w:val="00F008A4"/>
    <w:rsid w:val="00F00978"/>
    <w:rsid w:val="00F00AA8"/>
    <w:rsid w:val="00F0155E"/>
    <w:rsid w:val="00F02706"/>
    <w:rsid w:val="00F02B7C"/>
    <w:rsid w:val="00F0378D"/>
    <w:rsid w:val="00F03CDC"/>
    <w:rsid w:val="00F04AE3"/>
    <w:rsid w:val="00F0521A"/>
    <w:rsid w:val="00F05337"/>
    <w:rsid w:val="00F05516"/>
    <w:rsid w:val="00F060C1"/>
    <w:rsid w:val="00F061FE"/>
    <w:rsid w:val="00F06438"/>
    <w:rsid w:val="00F06926"/>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5D6"/>
    <w:rsid w:val="00F30634"/>
    <w:rsid w:val="00F30963"/>
    <w:rsid w:val="00F30AC8"/>
    <w:rsid w:val="00F30CC2"/>
    <w:rsid w:val="00F30D46"/>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727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0BE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49E"/>
    <w:rsid w:val="00F87B35"/>
    <w:rsid w:val="00F87FF8"/>
    <w:rsid w:val="00F9063E"/>
    <w:rsid w:val="00F90674"/>
    <w:rsid w:val="00F90AD2"/>
    <w:rsid w:val="00F9130A"/>
    <w:rsid w:val="00F91565"/>
    <w:rsid w:val="00F91E87"/>
    <w:rsid w:val="00F922C3"/>
    <w:rsid w:val="00F92AFB"/>
    <w:rsid w:val="00F930E2"/>
    <w:rsid w:val="00F93B21"/>
    <w:rsid w:val="00F93F89"/>
    <w:rsid w:val="00F940F5"/>
    <w:rsid w:val="00F942E7"/>
    <w:rsid w:val="00F942F0"/>
    <w:rsid w:val="00F9435F"/>
    <w:rsid w:val="00F943E2"/>
    <w:rsid w:val="00F94943"/>
    <w:rsid w:val="00F9512C"/>
    <w:rsid w:val="00F9538F"/>
    <w:rsid w:val="00F963F3"/>
    <w:rsid w:val="00F968B3"/>
    <w:rsid w:val="00F96A52"/>
    <w:rsid w:val="00F96B99"/>
    <w:rsid w:val="00F97CC1"/>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BB8"/>
    <w:rsid w:val="00FB1CA0"/>
    <w:rsid w:val="00FB2853"/>
    <w:rsid w:val="00FB3219"/>
    <w:rsid w:val="00FB381C"/>
    <w:rsid w:val="00FB3D40"/>
    <w:rsid w:val="00FB3F9A"/>
    <w:rsid w:val="00FB3FF4"/>
    <w:rsid w:val="00FB47A6"/>
    <w:rsid w:val="00FB4C7E"/>
    <w:rsid w:val="00FB4E84"/>
    <w:rsid w:val="00FB5623"/>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209"/>
    <w:rsid w:val="00FC680E"/>
    <w:rsid w:val="00FC7619"/>
    <w:rsid w:val="00FC7ABA"/>
    <w:rsid w:val="00FD022A"/>
    <w:rsid w:val="00FD0591"/>
    <w:rsid w:val="00FD07A4"/>
    <w:rsid w:val="00FD09D6"/>
    <w:rsid w:val="00FD1353"/>
    <w:rsid w:val="00FD1A70"/>
    <w:rsid w:val="00FD1F76"/>
    <w:rsid w:val="00FD2A85"/>
    <w:rsid w:val="00FD2C8E"/>
    <w:rsid w:val="00FD2EF1"/>
    <w:rsid w:val="00FD3191"/>
    <w:rsid w:val="00FD3440"/>
    <w:rsid w:val="00FD41F9"/>
    <w:rsid w:val="00FD44F8"/>
    <w:rsid w:val="00FD46A2"/>
    <w:rsid w:val="00FD480F"/>
    <w:rsid w:val="00FD4BBB"/>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39D0FFB"/>
    <w:rsid w:val="03C92099"/>
    <w:rsid w:val="04282989"/>
    <w:rsid w:val="0505315A"/>
    <w:rsid w:val="05941835"/>
    <w:rsid w:val="07014983"/>
    <w:rsid w:val="07995707"/>
    <w:rsid w:val="07A9378B"/>
    <w:rsid w:val="08177415"/>
    <w:rsid w:val="09BE403E"/>
    <w:rsid w:val="0AFE5F9B"/>
    <w:rsid w:val="0C881F68"/>
    <w:rsid w:val="0CF8587C"/>
    <w:rsid w:val="0D240AB0"/>
    <w:rsid w:val="0D6D5F09"/>
    <w:rsid w:val="0D851F5D"/>
    <w:rsid w:val="0E3A65B0"/>
    <w:rsid w:val="0E3F5D04"/>
    <w:rsid w:val="0EBF5834"/>
    <w:rsid w:val="0F693010"/>
    <w:rsid w:val="10225471"/>
    <w:rsid w:val="12141737"/>
    <w:rsid w:val="13743A08"/>
    <w:rsid w:val="13930BD4"/>
    <w:rsid w:val="13A82C90"/>
    <w:rsid w:val="15C71A6E"/>
    <w:rsid w:val="15F55893"/>
    <w:rsid w:val="15FA3C0A"/>
    <w:rsid w:val="178E6AA0"/>
    <w:rsid w:val="18402A40"/>
    <w:rsid w:val="18D11894"/>
    <w:rsid w:val="19910A84"/>
    <w:rsid w:val="1A7307FA"/>
    <w:rsid w:val="1CD603A3"/>
    <w:rsid w:val="1F3400D1"/>
    <w:rsid w:val="20FD0164"/>
    <w:rsid w:val="21B70A91"/>
    <w:rsid w:val="24A53D9B"/>
    <w:rsid w:val="253815C8"/>
    <w:rsid w:val="259924D4"/>
    <w:rsid w:val="26214110"/>
    <w:rsid w:val="26E90F61"/>
    <w:rsid w:val="28F42652"/>
    <w:rsid w:val="29C317D8"/>
    <w:rsid w:val="2A261B35"/>
    <w:rsid w:val="2B97630F"/>
    <w:rsid w:val="2BEA5C1D"/>
    <w:rsid w:val="2CA837D1"/>
    <w:rsid w:val="2F624F42"/>
    <w:rsid w:val="2F754998"/>
    <w:rsid w:val="30B9204E"/>
    <w:rsid w:val="30E94246"/>
    <w:rsid w:val="31D979C6"/>
    <w:rsid w:val="32250B10"/>
    <w:rsid w:val="325D149C"/>
    <w:rsid w:val="32DC430A"/>
    <w:rsid w:val="33BE2F00"/>
    <w:rsid w:val="34403390"/>
    <w:rsid w:val="35C20C87"/>
    <w:rsid w:val="36757528"/>
    <w:rsid w:val="372C5AF1"/>
    <w:rsid w:val="387B151D"/>
    <w:rsid w:val="396D5E69"/>
    <w:rsid w:val="39DC1E9C"/>
    <w:rsid w:val="3BE452ED"/>
    <w:rsid w:val="3D634B94"/>
    <w:rsid w:val="3E341779"/>
    <w:rsid w:val="3E531525"/>
    <w:rsid w:val="3E5F6FB1"/>
    <w:rsid w:val="3E714D8E"/>
    <w:rsid w:val="3E982111"/>
    <w:rsid w:val="3FA24A9B"/>
    <w:rsid w:val="40C53556"/>
    <w:rsid w:val="426D35BE"/>
    <w:rsid w:val="42D95185"/>
    <w:rsid w:val="4638451F"/>
    <w:rsid w:val="46F300AF"/>
    <w:rsid w:val="485A08E0"/>
    <w:rsid w:val="495717B8"/>
    <w:rsid w:val="49643216"/>
    <w:rsid w:val="4A27219E"/>
    <w:rsid w:val="4B535A7F"/>
    <w:rsid w:val="4BC467F5"/>
    <w:rsid w:val="4BFF13E4"/>
    <w:rsid w:val="4CF92634"/>
    <w:rsid w:val="4D7367F1"/>
    <w:rsid w:val="4E427AEC"/>
    <w:rsid w:val="4E476BC7"/>
    <w:rsid w:val="5010500E"/>
    <w:rsid w:val="502362CE"/>
    <w:rsid w:val="51AB1F10"/>
    <w:rsid w:val="52C067E7"/>
    <w:rsid w:val="538230CE"/>
    <w:rsid w:val="567B79D1"/>
    <w:rsid w:val="569D7960"/>
    <w:rsid w:val="572E6254"/>
    <w:rsid w:val="5743556D"/>
    <w:rsid w:val="5A42042E"/>
    <w:rsid w:val="5BA656DE"/>
    <w:rsid w:val="5BF42268"/>
    <w:rsid w:val="5C9D7FBC"/>
    <w:rsid w:val="5D8C7C5F"/>
    <w:rsid w:val="5E497534"/>
    <w:rsid w:val="623D6B3F"/>
    <w:rsid w:val="629F129D"/>
    <w:rsid w:val="62A240ED"/>
    <w:rsid w:val="64D22031"/>
    <w:rsid w:val="65217A3B"/>
    <w:rsid w:val="652F36BE"/>
    <w:rsid w:val="65D96EE3"/>
    <w:rsid w:val="66F475C8"/>
    <w:rsid w:val="67383C1B"/>
    <w:rsid w:val="6AC3072D"/>
    <w:rsid w:val="6AFA6A73"/>
    <w:rsid w:val="6CBD7AFF"/>
    <w:rsid w:val="6CD05B15"/>
    <w:rsid w:val="6F836AC9"/>
    <w:rsid w:val="70EA72FF"/>
    <w:rsid w:val="726E1C65"/>
    <w:rsid w:val="746812F2"/>
    <w:rsid w:val="74B003A7"/>
    <w:rsid w:val="760F384B"/>
    <w:rsid w:val="76E53200"/>
    <w:rsid w:val="770C3A5F"/>
    <w:rsid w:val="772335A5"/>
    <w:rsid w:val="775878DF"/>
    <w:rsid w:val="77CC33AB"/>
    <w:rsid w:val="78191A42"/>
    <w:rsid w:val="7969522C"/>
    <w:rsid w:val="79B91C2E"/>
    <w:rsid w:val="7A296003"/>
    <w:rsid w:val="7B4669EA"/>
    <w:rsid w:val="7BA24558"/>
    <w:rsid w:val="7D015DB9"/>
    <w:rsid w:val="7E0A40CB"/>
    <w:rsid w:val="7E0B7A76"/>
    <w:rsid w:val="7E6A5249"/>
    <w:rsid w:val="7EDA2681"/>
    <w:rsid w:val="7F0A7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759806C-F88E-4270-A92F-EA8D786F4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uiPriority="1" w:unhideWhenUsed="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Lines="50" w:after="180" w:line="276" w:lineRule="auto"/>
    </w:pPr>
    <w:rPr>
      <w:lang w:eastAsia="en-US"/>
    </w:rPr>
  </w:style>
  <w:style w:type="paragraph" w:styleId="Heading1">
    <w:name w:val="heading 1"/>
    <w:next w:val="Normal"/>
    <w:link w:val="Heading1Char"/>
    <w:qFormat/>
    <w:pPr>
      <w:keepNext/>
      <w:keepLines/>
      <w:numPr>
        <w:numId w:val="1"/>
      </w:numPr>
      <w:pBdr>
        <w:top w:val="single" w:sz="12" w:space="3" w:color="auto"/>
      </w:pBdr>
      <w:spacing w:beforeLines="50" w:after="180" w:line="276" w:lineRule="auto"/>
      <w:outlineLvl w:val="0"/>
    </w:pPr>
    <w:rPr>
      <w:rFonts w:ascii="Arial" w:eastAsia="MS Mincho" w:hAnsi="Arial"/>
      <w:sz w:val="32"/>
      <w:lang w:eastAsia="en-US"/>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pPr>
      <w:numPr>
        <w:ilvl w:val="2"/>
      </w:numPr>
      <w:spacing w:before="120"/>
      <w:ind w:left="0"/>
      <w:outlineLvl w:val="2"/>
    </w:pPr>
    <w:rPr>
      <w:sz w:val="24"/>
    </w:r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0"/>
        <w:numId w:val="0"/>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ind w:left="851" w:hanging="851"/>
    </w:pPr>
    <w:rPr>
      <w:sz w:val="20"/>
    </w:rPr>
  </w:style>
  <w:style w:type="paragraph" w:styleId="TOC1">
    <w:name w:val="toc 1"/>
    <w:next w:val="Normal"/>
    <w:semiHidden/>
    <w:qFormat/>
    <w:pPr>
      <w:keepNext/>
      <w:keepLines/>
      <w:widowControl w:val="0"/>
      <w:tabs>
        <w:tab w:val="right" w:leader="dot" w:pos="9639"/>
      </w:tabs>
      <w:spacing w:beforeLines="50" w:after="180" w:line="276" w:lineRule="auto"/>
      <w:ind w:left="567" w:right="425" w:hanging="567"/>
    </w:pPr>
    <w:rPr>
      <w:rFonts w:eastAsia="MS Mincho"/>
      <w:sz w:val="22"/>
      <w:lang w:eastAsia="en-US"/>
    </w:rPr>
  </w:style>
  <w:style w:type="paragraph" w:styleId="ListBullet4">
    <w:name w:val="List Bullet 4"/>
    <w:basedOn w:val="Normal"/>
    <w:qFormat/>
    <w:pPr>
      <w:numPr>
        <w:numId w:val="2"/>
      </w:numPr>
      <w:tabs>
        <w:tab w:val="clear" w:pos="1418"/>
        <w:tab w:val="left" w:pos="1600"/>
      </w:tabs>
      <w:ind w:left="1543"/>
    </w:pPr>
  </w:style>
  <w:style w:type="paragraph" w:styleId="ListNumber">
    <w:name w:val="List Number"/>
    <w:basedOn w:val="List"/>
    <w:qFormat/>
    <w:pPr>
      <w:numPr>
        <w:numId w:val="3"/>
      </w:numPr>
    </w:pPr>
  </w:style>
  <w:style w:type="paragraph" w:styleId="NormalIndent">
    <w:name w:val="Normal Indent"/>
    <w:basedOn w:val="Normal"/>
    <w:qFormat/>
    <w:pPr>
      <w:ind w:firstLineChars="200" w:firstLine="420"/>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overflowPunct w:val="0"/>
      <w:autoSpaceDE w:val="0"/>
      <w:autoSpaceDN w:val="0"/>
      <w:adjustRightInd w:val="0"/>
      <w:textAlignment w:val="baseline"/>
    </w:pPr>
    <w:rPr>
      <w:rFonts w:eastAsia="MS Mincho"/>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beforeLines="50" w:after="180" w:line="276" w:lineRule="auto"/>
    </w:pPr>
    <w:rPr>
      <w:rFonts w:ascii="Arial" w:eastAsia="MS Mincho"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table" w:styleId="TableGrid">
    <w:name w:val="Table Grid"/>
    <w:basedOn w:val="TableNormal"/>
    <w:qFormat/>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5">
    <w:name w:val="Light Grid Accent 5"/>
    <w:basedOn w:val="TableNormal"/>
    <w:uiPriority w:val="62"/>
    <w:qFormat/>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SimSu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SimSu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SimSun" w:hAnsi="Cambria" w:cs="Times New Roman"/>
        <w:b/>
        <w:bCs/>
      </w:rPr>
    </w:tblStylePr>
    <w:tblStylePr w:type="lastCol">
      <w:rPr>
        <w:rFonts w:ascii="Cambria" w:eastAsia="SimSu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MediumList2-Accent5">
    <w:name w:val="Medium List 2 Accent 5"/>
    <w:basedOn w:val="TableNormal"/>
    <w:uiPriority w:val="66"/>
    <w:qFormat/>
    <w:rPr>
      <w:rFonts w:ascii="Cambria" w:hAnsi="Cambria"/>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ZT">
    <w:name w:val="ZT"/>
    <w:qFormat/>
    <w:pPr>
      <w:framePr w:wrap="notBeside" w:hAnchor="margin" w:yAlign="center"/>
      <w:widowControl w:val="0"/>
      <w:spacing w:beforeLines="50" w:after="180" w:line="240" w:lineRule="atLeast"/>
      <w:jc w:val="right"/>
    </w:pPr>
    <w:rPr>
      <w:rFonts w:ascii="Arial" w:eastAsia="MS Mincho" w:hAnsi="Arial"/>
      <w:b/>
      <w:sz w:val="34"/>
      <w:lang w:eastAsia="en-US"/>
    </w:rPr>
  </w:style>
  <w:style w:type="paragraph" w:customStyle="1" w:styleId="ZH">
    <w:name w:val="ZH"/>
    <w:qFormat/>
    <w:pPr>
      <w:framePr w:wrap="notBeside" w:vAnchor="page" w:hAnchor="margin" w:xAlign="center" w:y="6805"/>
      <w:widowControl w:val="0"/>
      <w:spacing w:beforeLines="50" w:after="180" w:line="276" w:lineRule="auto"/>
    </w:pPr>
    <w:rPr>
      <w:rFonts w:ascii="Arial" w:eastAsia="MS Mincho" w:hAnsi="Arial"/>
      <w:lang w:eastAsia="en-US"/>
    </w:rPr>
  </w:style>
  <w:style w:type="character" w:customStyle="1" w:styleId="Heading1Char">
    <w:name w:val="Heading 1 Char"/>
    <w:link w:val="Heading1"/>
    <w:qFormat/>
    <w:rPr>
      <w:rFonts w:ascii="Arial" w:hAnsi="Arial"/>
      <w:sz w:val="32"/>
      <w:lang w:val="en-GB" w:eastAsia="en-US"/>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eastAsia="MS Mincho"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beforeLines="50" w:after="180" w:line="180" w:lineRule="exact"/>
    </w:pPr>
    <w:rPr>
      <w:rFonts w:ascii="MS LineDraw" w:eastAsia="MS Mincho"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4"/>
      </w:numPr>
      <w:tabs>
        <w:tab w:val="clear" w:pos="840"/>
        <w:tab w:val="left" w:pos="704"/>
      </w:tabs>
      <w:ind w:left="704" w:hanging="420"/>
    </w:pPr>
    <w:rPr>
      <w:lang w:eastAsia="zh-CN"/>
    </w:rPr>
  </w:style>
  <w:style w:type="paragraph" w:customStyle="1" w:styleId="Reference">
    <w:name w:val="Reference"/>
    <w:basedOn w:val="Normal"/>
    <w:qFormat/>
    <w:pPr>
      <w:numPr>
        <w:numId w:val="5"/>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line="276" w:lineRule="auto"/>
    </w:pPr>
    <w:rPr>
      <w:rFonts w:ascii="Courier New" w:eastAsia="MS Mincho"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beforeLines="50" w:after="180" w:line="276" w:lineRule="auto"/>
      <w:jc w:val="right"/>
    </w:pPr>
    <w:rPr>
      <w:rFonts w:ascii="Arial" w:eastAsia="MS Mincho" w:hAnsi="Arial"/>
      <w:sz w:val="40"/>
      <w:lang w:eastAsia="en-US"/>
    </w:rPr>
  </w:style>
  <w:style w:type="paragraph" w:customStyle="1" w:styleId="ZB">
    <w:name w:val="ZB"/>
    <w:qFormat/>
    <w:pPr>
      <w:framePr w:w="10206" w:h="284" w:hRule="exact" w:wrap="notBeside" w:vAnchor="page" w:hAnchor="margin" w:y="1986"/>
      <w:widowControl w:val="0"/>
      <w:spacing w:beforeLines="50" w:after="180" w:line="276" w:lineRule="auto"/>
      <w:ind w:right="28"/>
      <w:jc w:val="right"/>
    </w:pPr>
    <w:rPr>
      <w:rFonts w:ascii="Arial" w:eastAsia="MS Mincho" w:hAnsi="Arial"/>
      <w:i/>
      <w:lang w:eastAsia="en-US"/>
    </w:rPr>
  </w:style>
  <w:style w:type="paragraph" w:customStyle="1" w:styleId="ZD">
    <w:name w:val="ZD"/>
    <w:qFormat/>
    <w:pPr>
      <w:framePr w:wrap="notBeside" w:vAnchor="page" w:hAnchor="margin" w:y="15764"/>
      <w:widowControl w:val="0"/>
      <w:spacing w:beforeLines="50" w:after="180" w:line="276" w:lineRule="auto"/>
    </w:pPr>
    <w:rPr>
      <w:rFonts w:ascii="Arial" w:eastAsia="MS Mincho"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beforeLines="50" w:after="180" w:line="276" w:lineRule="auto"/>
      <w:jc w:val="right"/>
    </w:pPr>
    <w:rPr>
      <w:rFonts w:ascii="Arial" w:eastAsia="MS Mincho"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beforeLines="50" w:after="180" w:line="276" w:lineRule="auto"/>
      <w:jc w:val="right"/>
    </w:pPr>
    <w:rPr>
      <w:rFonts w:ascii="Arial" w:eastAsia="MS Mincho"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color w:val="FF0000"/>
      <w:lang w:val="en-GB" w:eastAsia="en-US" w:bidi="ar-SA"/>
    </w:rPr>
  </w:style>
  <w:style w:type="character" w:customStyle="1" w:styleId="a1">
    <w:name w:val="样式 宋体 蓝色"/>
    <w:qFormat/>
    <w:rPr>
      <w:rFonts w:ascii="Times New Roman" w:eastAsia="SimSun" w:hAnsi="Times New Roman"/>
      <w:color w:val="0000FF"/>
    </w:rPr>
  </w:style>
  <w:style w:type="paragraph" w:customStyle="1" w:styleId="MSMincho">
    <w:name w:val="样式 列表 + (西文) MS Mincho"/>
    <w:basedOn w:val="List"/>
    <w:link w:val="MSMinchoChar"/>
    <w:qFormat/>
  </w:style>
  <w:style w:type="character" w:customStyle="1" w:styleId="ListChar">
    <w:name w:val="List Char"/>
    <w:link w:val="List"/>
    <w:qFormat/>
    <w:rPr>
      <w:rFonts w:eastAsia="SimSun"/>
      <w:lang w:val="en-GB" w:eastAsia="en-US" w:bidi="ar-SA"/>
    </w:rPr>
  </w:style>
  <w:style w:type="character" w:customStyle="1" w:styleId="MSMinchoChar">
    <w:name w:val="样式 列表 + (西文) MS Mincho Char"/>
    <w:basedOn w:val="ListChar"/>
    <w:link w:val="MSMincho"/>
    <w:qFormat/>
    <w:rPr>
      <w:rFonts w:eastAsia="SimSun"/>
      <w:lang w:val="en-GB" w:eastAsia="en-US" w:bidi="ar-SA"/>
    </w:rPr>
  </w:style>
  <w:style w:type="paragraph" w:customStyle="1" w:styleId="B4">
    <w:name w:val="B4"/>
    <w:basedOn w:val="List4"/>
    <w:link w:val="B4Char"/>
    <w:qFormat/>
    <w:rPr>
      <w:rFonts w:eastAsia="MS Mincho"/>
    </w:rPr>
  </w:style>
  <w:style w:type="character" w:customStyle="1" w:styleId="B4Char">
    <w:name w:val="B4 Char"/>
    <w:link w:val="B4"/>
    <w:qFormat/>
    <w:rPr>
      <w:lang w:val="en-GB" w:eastAsia="en-US" w:bidi="ar-SA"/>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beforeLines="50" w:after="120" w:line="276" w:lineRule="auto"/>
    </w:pPr>
    <w:rPr>
      <w:rFonts w:ascii="Arial" w:eastAsia="MS Mincho" w:hAnsi="Arial"/>
      <w:lang w:eastAsia="en-US"/>
    </w:rPr>
  </w:style>
  <w:style w:type="paragraph" w:customStyle="1" w:styleId="tdoc-header">
    <w:name w:val="tdoc-header"/>
    <w:qFormat/>
    <w:pPr>
      <w:spacing w:beforeLines="50" w:after="180" w:line="276" w:lineRule="auto"/>
    </w:pPr>
    <w:rPr>
      <w:rFonts w:ascii="Arial" w:eastAsia="MS Mincho" w:hAnsi="Arial"/>
      <w:sz w:val="24"/>
      <w:lang w:eastAsia="en-US"/>
    </w:rPr>
  </w:style>
  <w:style w:type="paragraph" w:customStyle="1" w:styleId="ZchnZchn">
    <w:name w:val="Zchn Zchn"/>
    <w:semiHidden/>
    <w:qFormat/>
    <w:pPr>
      <w:keepNext/>
      <w:tabs>
        <w:tab w:val="left" w:pos="1494"/>
      </w:tabs>
      <w:autoSpaceDE w:val="0"/>
      <w:autoSpaceDN w:val="0"/>
      <w:adjustRightInd w:val="0"/>
      <w:spacing w:beforeLines="50" w:after="60" w:line="276" w:lineRule="auto"/>
      <w:ind w:left="1494" w:hanging="360"/>
      <w:jc w:val="both"/>
    </w:pPr>
    <w:rPr>
      <w:rFonts w:ascii="Arial" w:hAnsi="Arial" w:cs="Arial"/>
      <w:color w:val="0000FF"/>
      <w:kern w:val="2"/>
      <w:lang w:val="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pPr>
      <w:widowControl w:val="0"/>
      <w:autoSpaceDE w:val="0"/>
      <w:autoSpaceDN w:val="0"/>
      <w:adjustRightInd w:val="0"/>
      <w:spacing w:afterLines="50"/>
      <w:jc w:val="both"/>
    </w:pPr>
    <w:rPr>
      <w:lang w:val="en-US" w:eastAsia="zh-CN"/>
    </w:rPr>
  </w:style>
  <w:style w:type="character" w:customStyle="1" w:styleId="TALCar">
    <w:name w:val="TAL Car"/>
    <w:link w:val="TAL"/>
    <w:qFormat/>
    <w:rPr>
      <w:rFonts w:ascii="Arial" w:hAnsi="Arial"/>
      <w:sz w:val="18"/>
      <w:lang w:val="en-GB" w:eastAsia="en-US" w:bidi="ar-SA"/>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hAnsi="Courier New"/>
      <w:sz w:val="16"/>
      <w:lang w:val="en-GB" w:eastAsia="en-US" w:bidi="ar-SA"/>
    </w:rPr>
  </w:style>
  <w:style w:type="paragraph" w:customStyle="1" w:styleId="3CharChar">
    <w:name w:val="(文字) (文字)3 Char Char (文字) (文字)"/>
    <w:basedOn w:val="Normal"/>
    <w:qFormat/>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pPr>
      <w:tabs>
        <w:tab w:val="center" w:pos="4820"/>
        <w:tab w:val="right" w:pos="9640"/>
      </w:tabs>
    </w:pPr>
    <w:rPr>
      <w:lang w:val="en-US"/>
    </w:rPr>
  </w:style>
  <w:style w:type="paragraph" w:customStyle="1" w:styleId="CharCharChar">
    <w:name w:val="Char Char Char"/>
    <w:basedOn w:val="Normal"/>
    <w:semiHidden/>
    <w:qFormat/>
    <w:pPr>
      <w:spacing w:after="160" w:line="240" w:lineRule="exact"/>
    </w:pPr>
    <w:rPr>
      <w:rFonts w:ascii="Arial" w:hAnsi="Arial" w:cs="Arial"/>
      <w:color w:val="0000FF"/>
      <w:kern w:val="2"/>
      <w:lang w:val="en-US"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pPr>
      <w:ind w:left="568" w:hanging="284"/>
    </w:pPr>
    <w:rPr>
      <w:rFonts w:eastAsia="MS Mincho"/>
      <w:lang w:eastAsia="ja-JP"/>
    </w:rPr>
  </w:style>
  <w:style w:type="character" w:customStyle="1" w:styleId="B1Char1">
    <w:name w:val="B1 Char1"/>
    <w:link w:val="B1"/>
    <w:qFormat/>
    <w:rPr>
      <w:rFonts w:eastAsia="MS Mincho"/>
      <w:lang w:val="en-GB" w:eastAsia="ja-JP" w:bidi="ar-SA"/>
    </w:rPr>
  </w:style>
  <w:style w:type="character" w:customStyle="1" w:styleId="a4">
    <w:name w:val="首标题"/>
    <w:qFormat/>
    <w:rPr>
      <w:rFonts w:ascii="Arial" w:eastAsia="SimSun" w:hAnsi="Arial"/>
      <w:sz w:val="24"/>
    </w:rPr>
  </w:style>
  <w:style w:type="paragraph" w:customStyle="1" w:styleId="4">
    <w:name w:val="标题4"/>
    <w:basedOn w:val="Normal"/>
    <w:qFormat/>
    <w:pPr>
      <w:numPr>
        <w:numId w:val="6"/>
      </w:numPr>
    </w:pPr>
  </w:style>
  <w:style w:type="paragraph" w:customStyle="1" w:styleId="a">
    <w:name w:val="插图题注"/>
    <w:basedOn w:val="Normal"/>
    <w:qFormat/>
    <w:pPr>
      <w:numPr>
        <w:ilvl w:val="7"/>
        <w:numId w:val="1"/>
      </w:numPr>
    </w:pPr>
  </w:style>
  <w:style w:type="paragraph" w:customStyle="1" w:styleId="a0">
    <w:name w:val="表格题注"/>
    <w:basedOn w:val="Normal"/>
    <w:qFormat/>
    <w:pPr>
      <w:numPr>
        <w:ilvl w:val="8"/>
        <w:numId w:val="1"/>
      </w:numPr>
    </w:pPr>
  </w:style>
  <w:style w:type="character" w:customStyle="1" w:styleId="THChar">
    <w:name w:val="TH Char"/>
    <w:link w:val="TH"/>
    <w:qFormat/>
    <w:rPr>
      <w:rFonts w:ascii="Arial" w:eastAsia="SimSun" w:hAnsi="Arial"/>
      <w:b/>
      <w:lang w:val="en-GB" w:eastAsia="en-US" w:bidi="ar-SA"/>
    </w:rPr>
  </w:style>
  <w:style w:type="paragraph" w:customStyle="1" w:styleId="CharChar">
    <w:name w:val="Char Char"/>
    <w:semiHidden/>
    <w:qFormat/>
    <w:pPr>
      <w:keepNext/>
      <w:numPr>
        <w:numId w:val="7"/>
      </w:numPr>
      <w:autoSpaceDE w:val="0"/>
      <w:autoSpaceDN w:val="0"/>
      <w:adjustRightInd w:val="0"/>
      <w:spacing w:beforeLines="50" w:after="60" w:line="276" w:lineRule="auto"/>
      <w:jc w:val="both"/>
    </w:pPr>
    <w:rPr>
      <w:rFonts w:ascii="Arial" w:hAnsi="Arial" w:cs="Arial"/>
      <w:color w:val="0000FF"/>
      <w:kern w:val="2"/>
      <w:lang w:val="en-US"/>
    </w:rPr>
  </w:style>
  <w:style w:type="paragraph" w:customStyle="1" w:styleId="CharChar1CharCharCharChar">
    <w:name w:val="Char Char1 Char Char Char Char"/>
    <w:semiHidden/>
    <w:qFormat/>
    <w:pPr>
      <w:keepNext/>
      <w:tabs>
        <w:tab w:val="left" w:pos="432"/>
      </w:tabs>
      <w:autoSpaceDE w:val="0"/>
      <w:autoSpaceDN w:val="0"/>
      <w:adjustRightInd w:val="0"/>
      <w:spacing w:beforeLines="50" w:after="60" w:line="276" w:lineRule="auto"/>
      <w:ind w:left="432" w:hanging="432"/>
      <w:jc w:val="both"/>
    </w:pPr>
    <w:rPr>
      <w:rFonts w:ascii="Arial" w:hAnsi="Arial" w:cs="Arial"/>
      <w:color w:val="0000FF"/>
      <w:kern w:val="2"/>
      <w:sz w:val="21"/>
      <w:szCs w:val="24"/>
      <w:lang w:val="en-US"/>
    </w:rPr>
  </w:style>
  <w:style w:type="paragraph" w:customStyle="1" w:styleId="1">
    <w:name w:val="样式1"/>
    <w:basedOn w:val="Normal"/>
    <w:qFormat/>
  </w:style>
  <w:style w:type="character" w:customStyle="1" w:styleId="Heading2Char">
    <w:name w:val="Heading 2 Char"/>
    <w:link w:val="Heading2"/>
    <w:qFormat/>
    <w:rPr>
      <w:rFonts w:ascii="Arial" w:hAnsi="Arial"/>
      <w:sz w:val="28"/>
      <w:lang w:val="en-GB" w:eastAsia="en-US"/>
    </w:rPr>
  </w:style>
  <w:style w:type="paragraph" w:customStyle="1" w:styleId="CharChar1CharCharCharChar1CharCharCharChar">
    <w:name w:val="Char Char1 Char Char Char Char1 Char Char Char Char"/>
    <w:basedOn w:val="Normal"/>
    <w:qFormat/>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pPr>
      <w:keepNext/>
      <w:tabs>
        <w:tab w:val="left" w:pos="851"/>
      </w:tabs>
      <w:autoSpaceDE w:val="0"/>
      <w:autoSpaceDN w:val="0"/>
      <w:adjustRightInd w:val="0"/>
      <w:spacing w:beforeLines="50" w:after="60" w:line="276" w:lineRule="auto"/>
      <w:ind w:left="851" w:hanging="851"/>
      <w:jc w:val="both"/>
    </w:pPr>
    <w:rPr>
      <w:rFonts w:ascii="Arial" w:hAnsi="Arial" w:cs="Arial"/>
      <w:color w:val="0000FF"/>
      <w:kern w:val="2"/>
      <w:lang w:val="en-US"/>
    </w:rPr>
  </w:style>
  <w:style w:type="character" w:customStyle="1" w:styleId="yinbiao">
    <w:name w:val="yinbiao"/>
    <w:basedOn w:val="DefaultParagraphFont"/>
    <w:qFormat/>
  </w:style>
  <w:style w:type="character" w:customStyle="1" w:styleId="TALChar">
    <w:name w:val="TAL Char"/>
    <w:qFormat/>
    <w:rPr>
      <w:rFonts w:ascii="Arial" w:eastAsia="SimSun" w:hAnsi="Arial"/>
      <w:sz w:val="18"/>
      <w:lang w:val="en-GB" w:eastAsia="en-GB"/>
    </w:rPr>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pPr>
      <w:spacing w:after="0"/>
      <w:ind w:firstLineChars="200" w:firstLine="420"/>
    </w:pPr>
    <w:rPr>
      <w:sz w:val="24"/>
      <w:szCs w:val="24"/>
      <w:lang w:val="en-US" w:eastAsia="zh-CN"/>
    </w:rPr>
  </w:style>
  <w:style w:type="character" w:customStyle="1" w:styleId="BodyTextChar">
    <w:name w:val="Body Text Char"/>
    <w:link w:val="BodyText"/>
    <w:qFormat/>
    <w:rPr>
      <w:lang w:val="en-GB" w:eastAsia="en-US"/>
    </w:rPr>
  </w:style>
  <w:style w:type="paragraph" w:customStyle="1" w:styleId="B2">
    <w:name w:val="B2"/>
    <w:basedOn w:val="List2"/>
    <w:link w:val="B2Char"/>
    <w:qFormat/>
    <w:pPr>
      <w:overflowPunct w:val="0"/>
      <w:autoSpaceDE w:val="0"/>
      <w:autoSpaceDN w:val="0"/>
      <w:adjustRightInd w:val="0"/>
      <w:ind w:hanging="284"/>
      <w:textAlignment w:val="baseline"/>
    </w:pPr>
    <w:rPr>
      <w:lang w:eastAsia="ja-JP"/>
    </w:rPr>
  </w:style>
  <w:style w:type="character" w:customStyle="1" w:styleId="B2Char">
    <w:name w:val="B2 Char"/>
    <w:link w:val="B2"/>
    <w:qFormat/>
    <w:rPr>
      <w:rFonts w:eastAsia="SimSun"/>
      <w:lang w:val="en-GB" w:eastAsia="ja-JP"/>
    </w:rPr>
  </w:style>
  <w:style w:type="character" w:customStyle="1" w:styleId="B1Char">
    <w:name w:val="B1 Char"/>
    <w:qFormat/>
    <w:rPr>
      <w:lang w:val="en-GB"/>
    </w:rPr>
  </w:style>
  <w:style w:type="character" w:customStyle="1" w:styleId="CommentTextChar">
    <w:name w:val="Comment Text Char"/>
    <w:link w:val="CommentText"/>
    <w:semiHidden/>
    <w:qFormat/>
    <w:rPr>
      <w:rFonts w:eastAsia="SimSun"/>
      <w:lang w:val="en-GB" w:eastAsia="en-US"/>
    </w:rPr>
  </w:style>
  <w:style w:type="table" w:customStyle="1" w:styleId="-11">
    <w:name w:val="浅色底纹 - 强调文字颜色 1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NormalIndent"/>
    <w:qFormat/>
    <w:pPr>
      <w:widowControl w:val="0"/>
      <w:adjustRightInd w:val="0"/>
      <w:snapToGrid w:val="0"/>
      <w:spacing w:beforeLines="35" w:after="0" w:line="460" w:lineRule="exact"/>
      <w:ind w:firstLine="560"/>
      <w:jc w:val="both"/>
      <w:textAlignment w:val="baseline"/>
    </w:pPr>
    <w:rPr>
      <w:rFonts w:eastAsia="KaiTi_GB2312" w:cs="SimSun"/>
      <w:snapToGrid w:val="0"/>
      <w:sz w:val="28"/>
      <w:lang w:val="en-US" w:eastAsia="zh-CN"/>
    </w:rPr>
  </w:style>
  <w:style w:type="character" w:customStyle="1" w:styleId="B1Zchn">
    <w:name w:val="B1 Zchn"/>
    <w:qFormat/>
    <w:rPr>
      <w:rFonts w:eastAsia="MS Mincho"/>
      <w:lang w:val="en-GB" w:eastAsia="en-US"/>
    </w:rPr>
  </w:style>
  <w:style w:type="paragraph" w:customStyle="1" w:styleId="references">
    <w:name w:val="references"/>
    <w:uiPriority w:val="99"/>
    <w:qFormat/>
    <w:pPr>
      <w:numPr>
        <w:numId w:val="8"/>
      </w:numPr>
      <w:spacing w:beforeLines="50" w:after="50" w:line="180" w:lineRule="exact"/>
      <w:jc w:val="both"/>
    </w:pPr>
    <w:rPr>
      <w:rFonts w:eastAsia="MS Mincho"/>
      <w:sz w:val="16"/>
      <w:szCs w:val="16"/>
      <w:lang w:val="en-US"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apple-converted-space">
    <w:name w:val="apple-converted-space"/>
    <w:basedOn w:val="DefaultParagraphFont"/>
    <w:qFormat/>
  </w:style>
  <w:style w:type="character" w:customStyle="1" w:styleId="high-light-bg">
    <w:name w:val="high-light-bg"/>
    <w:basedOn w:val="DefaultParagraphFont"/>
    <w:qFormat/>
  </w:style>
  <w:style w:type="paragraph" w:customStyle="1" w:styleId="ListParagraph2">
    <w:name w:val="List Paragraph2"/>
    <w:basedOn w:val="Normal"/>
    <w:uiPriority w:val="99"/>
    <w:unhideWhenUsed/>
    <w:qFormat/>
    <w:pPr>
      <w:ind w:left="720"/>
      <w:contextualSpacing/>
    </w:pPr>
  </w:style>
  <w:style w:type="paragraph" w:customStyle="1" w:styleId="ListParagraph3">
    <w:name w:val="List Paragraph3"/>
    <w:basedOn w:val="Normal"/>
    <w:link w:val="ListParagraphChar"/>
    <w:uiPriority w:val="34"/>
    <w:qFormat/>
    <w:pPr>
      <w:ind w:left="720"/>
      <w:contextualSpacing/>
    </w:pPr>
  </w:style>
  <w:style w:type="character" w:customStyle="1" w:styleId="ListParagraphChar">
    <w:name w:val="List Paragraph Char"/>
    <w:basedOn w:val="DefaultParagraphFont"/>
    <w:link w:val="ListParagraph3"/>
    <w:uiPriority w:val="34"/>
    <w:qFormat/>
    <w:rPr>
      <w:rFonts w:eastAsia="SimSun"/>
      <w:lang w:eastAsia="en-US"/>
    </w:rPr>
  </w:style>
  <w:style w:type="paragraph" w:customStyle="1" w:styleId="ListParagraph4">
    <w:name w:val="List Paragraph4"/>
    <w:basedOn w:val="Normal"/>
    <w:uiPriority w:val="99"/>
    <w:qFormat/>
    <w:pPr>
      <w:ind w:left="720"/>
      <w:contextualSpacing/>
    </w:pPr>
  </w:style>
  <w:style w:type="paragraph" w:styleId="ListParagraph">
    <w:name w:val="List Paragraph"/>
    <w:basedOn w:val="Normal"/>
    <w:uiPriority w:val="99"/>
    <w:rsid w:val="00F92AF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02ECE8-9D4E-4988-BAED-B096D54FF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1257</Words>
  <Characters>7167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TSG-RAN WG1</vt:lpstr>
    </vt:vector>
  </TitlesOfParts>
  <Company>Huawei Technologies Co.,Ltd.</Company>
  <LinksUpToDate>false</LinksUpToDate>
  <CharactersWithSpaces>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Carolyn TAYLOR</cp:lastModifiedBy>
  <cp:revision>5</cp:revision>
  <cp:lastPrinted>2009-04-21T13:01:00Z</cp:lastPrinted>
  <dcterms:created xsi:type="dcterms:W3CDTF">2017-11-16T22:29:00Z</dcterms:created>
  <dcterms:modified xsi:type="dcterms:W3CDTF">2017-11-17T17:33:00Z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2052-10.8.0.6206</vt:lpwstr>
  </property>
</Properties>
</file>